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left"/>
        <w:rPr>
          <w:rFonts w:ascii="方正小标宋_GBK" w:hAnsi="方正小标宋_GBK" w:eastAsia="方正小标宋_GBK" w:cs="方正小标宋_GBK"/>
          <w:sz w:val="30"/>
          <w:szCs w:val="30"/>
          <w14:ligatures w14:val="none"/>
        </w:rPr>
      </w:pPr>
      <w:r>
        <w:rPr>
          <w:rFonts w:hint="eastAsia" w:ascii="方正小标宋_GBK" w:hAnsi="方正小标宋_GBK" w:eastAsia="方正小标宋_GBK" w:cs="方正小标宋_GBK"/>
          <w:sz w:val="30"/>
          <w:szCs w:val="30"/>
          <w14:ligatures w14:val="none"/>
        </w:rPr>
        <w:t>附件1</w:t>
      </w:r>
    </w:p>
    <w:p>
      <w:pPr>
        <w:spacing w:after="0" w:line="240" w:lineRule="auto"/>
        <w:jc w:val="center"/>
        <w:rPr>
          <w:rFonts w:ascii="Times New Roman" w:hAnsi="Times New Roman" w:eastAsia="黑体" w:cs="Times New Roman"/>
          <w:sz w:val="38"/>
          <w14:ligatures w14:val="none"/>
        </w:rPr>
      </w:pPr>
      <w:bookmarkStart w:id="0" w:name="_GoBack"/>
      <w:r>
        <w:rPr>
          <w:rFonts w:hint="eastAsia" w:ascii="方正小标宋_GBK" w:hAnsi="方正小标宋_GBK" w:eastAsia="方正小标宋_GBK" w:cs="方正小标宋_GBK"/>
          <w:sz w:val="44"/>
          <w14:ligatures w14:val="none"/>
        </w:rPr>
        <w:t>GEI标准技术委员会工作细则（草案）</w:t>
      </w:r>
    </w:p>
    <w:bookmarkEnd w:id="0"/>
    <w:p>
      <w:pPr>
        <w:spacing w:after="0" w:line="240" w:lineRule="auto"/>
        <w:jc w:val="center"/>
        <w:rPr>
          <w:rFonts w:ascii="Times New Roman" w:hAnsi="Times New Roman" w:eastAsia="黑体" w:cs="Times New Roman"/>
          <w:sz w:val="32"/>
          <w14:ligatures w14:val="none"/>
        </w:rPr>
      </w:pPr>
      <w:r>
        <w:rPr>
          <w:rFonts w:ascii="Times New Roman" w:hAnsi="Times New Roman" w:eastAsia="黑体" w:cs="Times New Roman"/>
          <w:sz w:val="32"/>
          <w14:ligatures w14:val="none"/>
        </w:rPr>
        <w:t>第一章 总则</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 xml:space="preserve">第一条 </w:t>
      </w:r>
      <w:r>
        <w:rPr>
          <w:rFonts w:hint="eastAsia" w:ascii="Times New Roman" w:hAnsi="Times New Roman" w:eastAsia="仿宋_GB2312" w:cs="Times New Roman"/>
          <w:bCs/>
          <w:sz w:val="32"/>
          <w14:ligatures w14:val="none"/>
        </w:rPr>
        <w:t>为</w:t>
      </w:r>
      <w:r>
        <w:rPr>
          <w:rFonts w:hint="eastAsia" w:ascii="Times New Roman" w:hAnsi="Times New Roman" w:eastAsia="仿宋_GB2312" w:cs="Times New Roman"/>
          <w:sz w:val="32"/>
          <w14:ligatures w14:val="none"/>
        </w:rPr>
        <w:t>充分发挥</w:t>
      </w:r>
      <w:r>
        <w:rPr>
          <w:rFonts w:hint="eastAsia" w:ascii="Times New Roman" w:hAnsi="Times New Roman" w:eastAsia="仿宋_GB2312" w:cs="Times New Roman"/>
          <w:bCs/>
          <w:sz w:val="32"/>
          <w14:ligatures w14:val="none"/>
        </w:rPr>
        <w:t>GEI标准技术委员会（以下简称技术委员会）</w:t>
      </w:r>
      <w:r>
        <w:rPr>
          <w:rFonts w:hint="eastAsia" w:ascii="Times New Roman" w:hAnsi="Times New Roman" w:eastAsia="仿宋_GB2312" w:cs="Times New Roman"/>
          <w:sz w:val="32"/>
          <w14:ligatures w14:val="none"/>
        </w:rPr>
        <w:t>作用，根据《全球能源互联网标准工作导则（试行）》，特制订本细则。</w:t>
      </w:r>
    </w:p>
    <w:p>
      <w:pPr>
        <w:spacing w:before="156" w:beforeLines="50" w:after="0" w:line="580" w:lineRule="exact"/>
        <w:ind w:firstLine="643" w:firstLineChars="200"/>
        <w:rPr>
          <w:rFonts w:hint="eastAsia" w:ascii="Times New Roman" w:hAnsi="Times New Roman" w:eastAsia="仿宋_GB2312" w:cs="Times New Roman"/>
          <w:bCs/>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二</w:t>
      </w:r>
      <w:r>
        <w:rPr>
          <w:rFonts w:ascii="Times New Roman" w:hAnsi="Times New Roman" w:eastAsia="仿宋_GB2312" w:cs="Times New Roman"/>
          <w:b/>
          <w:sz w:val="32"/>
          <w14:ligatures w14:val="none"/>
        </w:rPr>
        <w:t>条</w:t>
      </w:r>
      <w:r>
        <w:rPr>
          <w:rFonts w:hint="eastAsia" w:ascii="Times New Roman" w:hAnsi="Times New Roman" w:eastAsia="仿宋_GB2312" w:cs="Times New Roman"/>
          <w:b/>
          <w:sz w:val="32"/>
          <w14:ligatures w14:val="none"/>
        </w:rPr>
        <w:t xml:space="preserve"> </w:t>
      </w:r>
      <w:r>
        <w:rPr>
          <w:rFonts w:hint="eastAsia" w:ascii="Times New Roman" w:hAnsi="Times New Roman" w:eastAsia="仿宋_GB2312" w:cs="Times New Roman"/>
          <w:bCs/>
          <w:sz w:val="32"/>
          <w14:ligatures w14:val="none"/>
        </w:rPr>
        <w:t>技术委员会是全球能源互联网相关专业领域内GEI标准工作的技术指导机构。主要职责包括：</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（一）组织开展本专业领域标准需求调研和提案征集；</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（二）审查本领域标准立项提案并形成建议；</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（三）审批本领域标准工作组组建，协调跨工作组协作；</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（四）跟踪并指导标准项目执行，组织本领域标准草案内容审查并形成建议。</w:t>
      </w:r>
    </w:p>
    <w:p>
      <w:pPr>
        <w:spacing w:before="156" w:beforeLines="50" w:after="0" w:line="580" w:lineRule="exact"/>
        <w:ind w:firstLine="643" w:firstLineChars="200"/>
        <w:rPr>
          <w:rFonts w:ascii="Times New Roman" w:hAnsi="Times New Roman" w:eastAsia="仿宋_GB2312" w:cs="Times New Roman"/>
          <w:b/>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三</w:t>
      </w:r>
      <w:r>
        <w:rPr>
          <w:rFonts w:ascii="Times New Roman" w:hAnsi="Times New Roman" w:eastAsia="仿宋_GB2312" w:cs="Times New Roman"/>
          <w:b/>
          <w:sz w:val="32"/>
          <w14:ligatures w14:val="none"/>
        </w:rPr>
        <w:t>条</w:t>
      </w:r>
      <w:r>
        <w:rPr>
          <w:rFonts w:hint="eastAsia" w:ascii="Times New Roman" w:hAnsi="Times New Roman" w:eastAsia="仿宋_GB2312" w:cs="Times New Roman"/>
          <w:b/>
          <w:sz w:val="32"/>
          <w14:ligatures w14:val="none"/>
        </w:rPr>
        <w:t xml:space="preserve"> </w:t>
      </w:r>
      <w:r>
        <w:rPr>
          <w:rFonts w:hint="eastAsia" w:ascii="Times New Roman" w:hAnsi="Times New Roman" w:eastAsia="仿宋_GB2312" w:cs="Times New Roman"/>
          <w:bCs/>
          <w:sz w:val="32"/>
          <w14:ligatures w14:val="none"/>
        </w:rPr>
        <w:t>技术委员会的布局规划、组建、优化调整等事项由GEI标准管理委员会统一管理。</w:t>
      </w:r>
    </w:p>
    <w:p>
      <w:pPr>
        <w:spacing w:before="156" w:beforeLines="50" w:after="0" w:line="580" w:lineRule="exact"/>
        <w:ind w:firstLine="643" w:firstLineChars="200"/>
        <w:rPr>
          <w:rFonts w:ascii="Times New Roman" w:hAnsi="Times New Roman" w:eastAsia="仿宋_GB2312" w:cs="Times New Roman"/>
          <w:bCs/>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四</w:t>
      </w:r>
      <w:r>
        <w:rPr>
          <w:rFonts w:ascii="Times New Roman" w:hAnsi="Times New Roman" w:eastAsia="仿宋_GB2312" w:cs="Times New Roman"/>
          <w:b/>
          <w:sz w:val="32"/>
          <w14:ligatures w14:val="none"/>
        </w:rPr>
        <w:t>条</w:t>
      </w:r>
      <w:r>
        <w:rPr>
          <w:rFonts w:hint="eastAsia" w:ascii="Times New Roman" w:hAnsi="Times New Roman" w:eastAsia="仿宋_GB2312" w:cs="Times New Roman"/>
          <w:b/>
          <w:sz w:val="32"/>
          <w14:ligatures w14:val="none"/>
        </w:rPr>
        <w:t xml:space="preserve"> </w:t>
      </w:r>
      <w:r>
        <w:rPr>
          <w:rFonts w:hint="eastAsia" w:ascii="Times New Roman" w:hAnsi="Times New Roman" w:eastAsia="仿宋_GB2312" w:cs="Times New Roman"/>
          <w:bCs/>
          <w:sz w:val="32"/>
          <w14:ligatures w14:val="none"/>
        </w:rPr>
        <w:t>本细则适用于技术委员会的组建、换届、调整、工作机制等。</w:t>
      </w:r>
    </w:p>
    <w:p>
      <w:pPr>
        <w:spacing w:before="312" w:beforeLines="100" w:after="312" w:afterLines="100" w:line="580" w:lineRule="exact"/>
        <w:jc w:val="center"/>
        <w:rPr>
          <w:rFonts w:ascii="Times New Roman" w:hAnsi="Times New Roman" w:eastAsia="黑体" w:cs="Times New Roman"/>
          <w:sz w:val="32"/>
          <w14:ligatures w14:val="none"/>
        </w:rPr>
      </w:pPr>
      <w:r>
        <w:rPr>
          <w:rFonts w:ascii="Times New Roman" w:hAnsi="Times New Roman" w:eastAsia="黑体" w:cs="Times New Roman"/>
          <w:sz w:val="32"/>
          <w14:ligatures w14:val="none"/>
        </w:rPr>
        <w:t>第二章 组织</w:t>
      </w:r>
      <w:r>
        <w:rPr>
          <w:rFonts w:hint="eastAsia" w:ascii="Times New Roman" w:hAnsi="Times New Roman" w:eastAsia="黑体" w:cs="Times New Roman"/>
          <w:sz w:val="32"/>
          <w14:ligatures w14:val="none"/>
        </w:rPr>
        <w:t>机构</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五</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sz w:val="32"/>
          <w14:ligatures w14:val="none"/>
        </w:rPr>
        <w:t>技术委员会由委员组成。委员应当具有广泛性和代表性，由从事本技术领域的专业人员担任。委员拥有表决权，参与技术委员会工作决策。</w:t>
      </w:r>
    </w:p>
    <w:p>
      <w:pPr>
        <w:spacing w:before="156" w:beforeLines="50" w:after="0" w:line="580" w:lineRule="exact"/>
        <w:ind w:firstLine="643" w:firstLineChars="200"/>
        <w:rPr>
          <w:rFonts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六</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sz w:val="32"/>
          <w14:ligatures w14:val="none"/>
        </w:rPr>
        <w:t>技术委员会委员人数不宜少于10名，其中，主席1名，副主席原则上不超过3名。委员不限于合作组织会员单位人员，所属国别数量不应少于5个，来自同一单位的委员不宜超过３名且占比不超过20%。主席负责领导技术委员会整体工作、主持技术委员会会议等，原则上主席不得来自秘书处承担单位；副主席协助主席开展相关工作，并在主席缺席时履行主席职责。主席、副主席不得均来自同一国家。根据工作需要，技术委员会可设顾问，参与工作讨论，无表决权。</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七</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sz w:val="32"/>
          <w14:ligatures w14:val="none"/>
        </w:rPr>
        <w:t>委员应当具备以下条件：</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（一）熟悉本专业领域标准工作，具有较高理论水平、扎实的专业知识和丰富的实践经验。</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（二）热心标准化事业，能积极参加技术委员会的标准化工作，包括行使委员投票表决权利、提出标准制修订工作建议、参与标准技术审查等。</w:t>
      </w:r>
    </w:p>
    <w:p>
      <w:pPr>
        <w:spacing w:before="156" w:beforeLines="50" w:after="0" w:line="580" w:lineRule="exact"/>
        <w:ind w:firstLine="643" w:firstLineChars="200"/>
        <w:rPr>
          <w:rFonts w:hint="eastAsia" w:ascii="Times New Roman" w:hAnsi="Times New Roman" w:eastAsia="仿宋_GB2312" w:cs="Times New Roman"/>
          <w:b/>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八</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bCs/>
          <w:sz w:val="32"/>
          <w14:ligatures w14:val="none"/>
        </w:rPr>
        <w:t>主席、副主席应当具备以下条件：</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（一）本专业领域的技术专家，在本专业领域内具有较高声誉和影响力。</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（二）秉持国际中立立场，公平公正履行职责。</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（三）高效协调技术委员会内部资源，与外部相关方建立良好协作关系。</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九</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bCs/>
          <w:sz w:val="32"/>
          <w14:ligatures w14:val="none"/>
        </w:rPr>
        <w:t>技术委员会</w:t>
      </w:r>
      <w:r>
        <w:rPr>
          <w:rFonts w:hint="eastAsia" w:ascii="Times New Roman" w:hAnsi="Times New Roman" w:eastAsia="仿宋_GB2312" w:cs="Times New Roman"/>
          <w:sz w:val="32"/>
          <w14:ligatures w14:val="none"/>
        </w:rPr>
        <w:t>下设秘书处。秘书处负责技术委员会的日常行政和组织工作，原则上由合作组织会员单位、合作伙伴、区域和国家委员会承担。秘书处承担单位应当符合以下条件：</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（一）有较强的技术实力、行业影响力和标准化工作经验。</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（二）将秘书处工作纳入本单位工作计划和日常工作，并为秘书处开展工作提供必要的经费和办公条件。</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（三）能够认真履行职责，确保秘书处各项工作公正、公平地开展。</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十</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sz w:val="32"/>
          <w14:ligatures w14:val="none"/>
        </w:rPr>
        <w:t>秘书处设秘书1名，可根据需要设助理秘书若干名，秘书、助理秘书均由秘书处承担单位任命，无表决权。</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十一</w:t>
      </w:r>
      <w:r>
        <w:rPr>
          <w:rFonts w:ascii="Times New Roman" w:hAnsi="Times New Roman" w:eastAsia="仿宋_GB2312" w:cs="Times New Roman"/>
          <w:b/>
          <w:sz w:val="32"/>
          <w14:ligatures w14:val="none"/>
        </w:rPr>
        <w:t xml:space="preserve">条 </w:t>
      </w:r>
      <w:r>
        <w:rPr>
          <w:rFonts w:hint="eastAsia" w:ascii="Times New Roman" w:hAnsi="Times New Roman" w:eastAsia="仿宋_GB2312" w:cs="Times New Roman"/>
          <w:bCs/>
          <w:sz w:val="32"/>
          <w14:ligatures w14:val="none"/>
        </w:rPr>
        <w:t>技术委员会设立若干</w:t>
      </w:r>
      <w:r>
        <w:rPr>
          <w:rFonts w:hint="eastAsia" w:ascii="Times New Roman" w:hAnsi="Times New Roman" w:eastAsia="仿宋_GB2312" w:cs="Times New Roman"/>
          <w:sz w:val="32"/>
          <w14:ligatures w14:val="none"/>
        </w:rPr>
        <w:t>工作组。</w:t>
      </w:r>
      <w:r>
        <w:rPr>
          <w:rFonts w:ascii="Times New Roman" w:hAnsi="Times New Roman" w:eastAsia="仿宋_GB2312" w:cs="Times New Roman"/>
          <w:sz w:val="32"/>
          <w14:ligatures w14:val="none"/>
        </w:rPr>
        <w:t>工作组是本专业GEI标准制修订工作的执行机构</w:t>
      </w:r>
      <w:r>
        <w:rPr>
          <w:rFonts w:hint="eastAsia" w:ascii="Times New Roman" w:hAnsi="Times New Roman" w:eastAsia="仿宋_GB2312" w:cs="Times New Roman"/>
          <w:sz w:val="32"/>
          <w14:ligatures w14:val="none"/>
        </w:rPr>
        <w:t>。</w:t>
      </w:r>
      <w:r>
        <w:rPr>
          <w:rFonts w:ascii="Times New Roman" w:hAnsi="Times New Roman" w:eastAsia="仿宋_GB2312" w:cs="Times New Roman"/>
          <w:sz w:val="32"/>
          <w14:ligatures w14:val="none"/>
        </w:rPr>
        <w:t>工作组由标准提案牵头单位申请，经所属技术委员会审议批准后成立，并报GEI标准工作办公室备案。</w:t>
      </w:r>
    </w:p>
    <w:p>
      <w:pPr>
        <w:spacing w:before="312" w:beforeLines="100" w:after="312" w:afterLines="100" w:line="580" w:lineRule="exact"/>
        <w:jc w:val="center"/>
        <w:rPr>
          <w:rFonts w:ascii="Times New Roman" w:hAnsi="Times New Roman" w:eastAsia="仿宋_GB2312" w:cs="Times New Roman"/>
          <w:color w:val="000000"/>
          <w:sz w:val="32"/>
          <w14:ligatures w14:val="none"/>
        </w:rPr>
      </w:pPr>
      <w:r>
        <w:rPr>
          <w:rFonts w:ascii="Times New Roman" w:hAnsi="Times New Roman" w:eastAsia="黑体" w:cs="Times New Roman"/>
          <w:color w:val="000000"/>
          <w:sz w:val="32"/>
          <w14:ligatures w14:val="none"/>
        </w:rPr>
        <w:t xml:space="preserve">第三章 </w:t>
      </w:r>
      <w:r>
        <w:rPr>
          <w:rFonts w:hint="eastAsia" w:ascii="Times New Roman" w:hAnsi="Times New Roman" w:eastAsia="黑体" w:cs="Times New Roman"/>
          <w:color w:val="000000"/>
          <w:sz w:val="32"/>
          <w14:ligatures w14:val="none"/>
        </w:rPr>
        <w:t>组建</w:t>
      </w:r>
    </w:p>
    <w:p>
      <w:pPr>
        <w:spacing w:before="156" w:beforeLines="50" w:after="0" w:line="580" w:lineRule="exact"/>
        <w:ind w:firstLine="643" w:firstLineChars="200"/>
        <w:rPr>
          <w:rFonts w:ascii="Times New Roman" w:hAnsi="Times New Roman" w:eastAsia="仿宋_GB2312" w:cs="Times New Roman"/>
          <w:b/>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十二</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技术委员会组建程序包括组建申请、批准筹建、完成筹建、批准成立。</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十三</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组建申请。申请单位向GEI标准工作办公室提交《GEI标准技术委员会申请表》（附件1），包括拟成立技术委员会的名称、秘书处单位情况、制修订标准专业领域、必要性等，可以另附近期工作设想等补充材料。</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十四</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批准筹建。</w:t>
      </w:r>
      <w:r>
        <w:rPr>
          <w:rFonts w:hint="eastAsia" w:ascii="Times New Roman" w:hAnsi="Times New Roman" w:eastAsia="仿宋_GB2312" w:cs="Times New Roman"/>
          <w:sz w:val="32"/>
          <w14:ligatures w14:val="none"/>
        </w:rPr>
        <w:t>GEI标准工作办公室对申请材料进行审核论证，具备组建条件的，报GEI标准管理委员会批准启动筹建。</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十五</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完成筹建。原则上，秘书处应在启动筹建后6个月内完成技术委员会筹建工作，如遇特殊情况确需延期的，须提前向标准工作办公室提交申请。筹建流程包括：按照要求公开征集委员，收集委员登记表（附件2），确定委员名单（附件3）；推荐主席、副主席候选人，向全体委员发送选票（附件4），组织完成投票</w:t>
      </w:r>
      <w:r>
        <w:rPr>
          <w:rFonts w:hint="eastAsia" w:ascii="Times New Roman" w:hAnsi="Times New Roman" w:eastAsia="仿宋_GB2312" w:cs="Times New Roman"/>
          <w:bCs/>
          <w:sz w:val="32"/>
          <w14:ligatures w14:val="none"/>
        </w:rPr>
        <w:t>并填写选举结果（附件5）</w:t>
      </w:r>
      <w:r>
        <w:rPr>
          <w:rFonts w:hint="eastAsia" w:ascii="Times New Roman" w:hAnsi="Times New Roman" w:eastAsia="仿宋_GB2312" w:cs="Times New Roman"/>
          <w:bCs/>
          <w:color w:val="000000"/>
          <w:sz w:val="32"/>
          <w14:ligatures w14:val="none"/>
        </w:rPr>
        <w:t>；将组建报告（附件6）报送GEI标准工作办公室。</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十六</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批准成立。GEI标准工作办公室将技术委员会组建结果进行公示，报GEI标准管理委员会批准后，技术委员会正式成立。</w:t>
      </w:r>
    </w:p>
    <w:p>
      <w:pPr>
        <w:spacing w:before="156" w:beforeLines="50" w:after="0" w:line="580" w:lineRule="exact"/>
        <w:ind w:firstLine="643" w:firstLineChars="200"/>
        <w:rPr>
          <w:rFonts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十七</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技术委员会编号规则为GEI TC XX-YY，其中，GEI TC为GEI标准技术委员会代号，XX代表技术领域，YY代表成立顺序号。由GEI标准工作办公室统一管理编号。</w:t>
      </w:r>
    </w:p>
    <w:p>
      <w:pPr>
        <w:spacing w:before="312" w:beforeLines="100" w:after="312" w:afterLines="100" w:line="580" w:lineRule="exact"/>
        <w:jc w:val="center"/>
        <w:rPr>
          <w:rFonts w:ascii="Times New Roman" w:hAnsi="Times New Roman" w:eastAsia="仿宋_GB2312" w:cs="Times New Roman"/>
          <w:color w:val="000000"/>
          <w:sz w:val="32"/>
          <w14:ligatures w14:val="none"/>
        </w:rPr>
      </w:pPr>
      <w:r>
        <w:rPr>
          <w:rFonts w:ascii="Times New Roman" w:hAnsi="Times New Roman" w:eastAsia="黑体" w:cs="Times New Roman"/>
          <w:color w:val="000000"/>
          <w:sz w:val="32"/>
          <w14:ligatures w14:val="none"/>
        </w:rPr>
        <w:t>第</w:t>
      </w:r>
      <w:r>
        <w:rPr>
          <w:rFonts w:hint="eastAsia" w:ascii="Times New Roman" w:hAnsi="Times New Roman" w:eastAsia="黑体" w:cs="Times New Roman"/>
          <w:color w:val="000000"/>
          <w:sz w:val="32"/>
          <w14:ligatures w14:val="none"/>
        </w:rPr>
        <w:t>四</w:t>
      </w:r>
      <w:r>
        <w:rPr>
          <w:rFonts w:ascii="Times New Roman" w:hAnsi="Times New Roman" w:eastAsia="黑体" w:cs="Times New Roman"/>
          <w:color w:val="000000"/>
          <w:sz w:val="32"/>
          <w14:ligatures w14:val="none"/>
        </w:rPr>
        <w:t xml:space="preserve">章 </w:t>
      </w:r>
      <w:r>
        <w:rPr>
          <w:rFonts w:hint="eastAsia" w:ascii="Times New Roman" w:hAnsi="Times New Roman" w:eastAsia="黑体" w:cs="Times New Roman"/>
          <w:color w:val="000000"/>
          <w:sz w:val="32"/>
          <w14:ligatures w14:val="none"/>
        </w:rPr>
        <w:t>换届、调整和撤销</w:t>
      </w:r>
    </w:p>
    <w:p>
      <w:pPr>
        <w:spacing w:before="156" w:beforeLines="50" w:after="0" w:line="580" w:lineRule="exact"/>
        <w:ind w:firstLine="643" w:firstLineChars="200"/>
        <w:rPr>
          <w:rFonts w:ascii="Times New Roman" w:hAnsi="Times New Roman" w:eastAsia="仿宋_GB2312" w:cs="Times New Roman"/>
          <w:b/>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十八</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换届。每届技术委员会任期为五年，任期届满应当换届。届满前3个月，技术委员会秘书处应向GEI标准工作办公室书面提出换届申请，提交换届情况说明、新一届技术委员会委员名单（含候选主席及副主席推荐人选）等材料，报GEI标准工作办公室备案。秘书处组织完成投票选举产生主席、副主席，将换届结果报送GEI标准工作办公室。GEI标准工作办公室将换届结果进行公示，报GEI标准管理委员会批准后完成换届。</w:t>
      </w:r>
    </w:p>
    <w:p>
      <w:pPr>
        <w:spacing w:before="156" w:beforeLines="50" w:after="0" w:line="580" w:lineRule="exact"/>
        <w:ind w:firstLine="643" w:firstLineChars="200"/>
        <w:rPr>
          <w:rFonts w:ascii="Times New Roman" w:hAnsi="Times New Roman" w:eastAsia="仿宋_GB2312" w:cs="Times New Roman"/>
          <w:b/>
          <w:color w:val="000000"/>
          <w:sz w:val="32"/>
          <w:highlight w:val="yellow"/>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十九</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调整。技术委员会需要对任期内的委员进行调整（解聘、增补）时，由技术委员会内部研究决策，报GEI标准工作办公室备案。涉及主席、副主席、秘书处承担单位调整的，秘书处向GEI标准工作办公室提出调整申请，报GEI标准管理委员会批准后实施。</w:t>
      </w:r>
    </w:p>
    <w:p>
      <w:pPr>
        <w:spacing w:before="156" w:beforeLines="50" w:after="0" w:line="580" w:lineRule="exact"/>
        <w:ind w:firstLine="643" w:firstLineChars="200"/>
        <w:rPr>
          <w:rFonts w:ascii="Times New Roman" w:hAnsi="Times New Roman" w:eastAsia="仿宋_GB2312" w:cs="Times New Roman"/>
          <w:b/>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二十</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撤销。技术委员会若没有完成标准工作任务或秘书处承担单位未提供必要支持以及存在违法违规行为等任一情形时，GEI标准管理委员会有权对技术委员会或秘书处进行调整或撤销。</w:t>
      </w:r>
    </w:p>
    <w:p>
      <w:pPr>
        <w:spacing w:before="312" w:beforeLines="100" w:after="312" w:afterLines="100" w:line="580" w:lineRule="exact"/>
        <w:jc w:val="center"/>
        <w:rPr>
          <w:rFonts w:ascii="Times New Roman" w:hAnsi="Times New Roman" w:eastAsia="仿宋_GB2312" w:cs="Times New Roman"/>
          <w:color w:val="000000"/>
          <w:sz w:val="32"/>
          <w14:ligatures w14:val="none"/>
        </w:rPr>
      </w:pPr>
      <w:r>
        <w:rPr>
          <w:rFonts w:ascii="Times New Roman" w:hAnsi="Times New Roman" w:eastAsia="黑体" w:cs="Times New Roman"/>
          <w:color w:val="000000"/>
          <w:sz w:val="32"/>
          <w14:ligatures w14:val="none"/>
        </w:rPr>
        <w:t>第</w:t>
      </w:r>
      <w:r>
        <w:rPr>
          <w:rFonts w:hint="eastAsia" w:ascii="Times New Roman" w:hAnsi="Times New Roman" w:eastAsia="黑体" w:cs="Times New Roman"/>
          <w:color w:val="000000"/>
          <w:sz w:val="32"/>
          <w14:ligatures w14:val="none"/>
        </w:rPr>
        <w:t>五</w:t>
      </w:r>
      <w:r>
        <w:rPr>
          <w:rFonts w:ascii="Times New Roman" w:hAnsi="Times New Roman" w:eastAsia="黑体" w:cs="Times New Roman"/>
          <w:color w:val="000000"/>
          <w:sz w:val="32"/>
          <w14:ligatures w14:val="none"/>
        </w:rPr>
        <w:t xml:space="preserve">章 </w:t>
      </w:r>
      <w:r>
        <w:rPr>
          <w:rFonts w:hint="eastAsia" w:ascii="Times New Roman" w:hAnsi="Times New Roman" w:eastAsia="黑体" w:cs="Times New Roman"/>
          <w:color w:val="000000"/>
          <w:sz w:val="32"/>
          <w14:ligatures w14:val="none"/>
        </w:rPr>
        <w:t>工作机制</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二十一</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决策机制</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技术委员会应当优先在全体委员充分协商的基础上达成普遍共识；无法达成共识时，实行主席领导下的集体表决制度。在需要投票决策时，应当提交全体委员表决，参加投票的委员不得少于2/3，赞成票占总票数的2/3及以上，且反对票不超过总票数的1/4，方为通过。表决结果应该形成决议，由秘书处报GEI标准工作办公室存档。</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技术委员会应每年至少召开一次年度会议，总结当年工作成效，明确下一年工作计划。秘书处应提前通知全体委员，并将会议纪要（附件7）报GEI标准工作办公室存档。</w:t>
      </w:r>
    </w:p>
    <w:p>
      <w:pPr>
        <w:spacing w:before="156" w:beforeLines="50" w:after="0" w:line="580" w:lineRule="exact"/>
        <w:ind w:firstLine="643" w:firstLineChars="200"/>
        <w:rPr>
          <w:rFonts w:hint="eastAsia" w:ascii="Times New Roman" w:hAnsi="Times New Roman" w:eastAsia="仿宋_GB2312" w:cs="Times New Roman"/>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二十二</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需要技术委员会全体委员审议的事项，</w:t>
      </w:r>
      <w:r>
        <w:rPr>
          <w:rFonts w:hint="eastAsia" w:ascii="Times New Roman" w:hAnsi="Times New Roman" w:eastAsia="仿宋_GB2312" w:cs="Times New Roman"/>
          <w:sz w:val="32"/>
          <w14:ligatures w14:val="none"/>
        </w:rPr>
        <w:t>由秘书处形成提案，包括但不限于：</w:t>
      </w:r>
    </w:p>
    <w:p>
      <w:pPr>
        <w:spacing w:after="0" w:line="580" w:lineRule="exact"/>
        <w:ind w:firstLine="640" w:firstLineChars="200"/>
        <w:rPr>
          <w:rFonts w:hint="eastAsia" w:ascii="Times New Roman" w:hAnsi="Times New Roman" w:eastAsia="仿宋_GB2312" w:cs="Times New Roman"/>
          <w:sz w:val="32"/>
          <w14:ligatures w14:val="none"/>
        </w:rPr>
      </w:pPr>
      <w:r>
        <w:rPr>
          <w:rFonts w:hint="eastAsia" w:ascii="Times New Roman" w:hAnsi="Times New Roman" w:eastAsia="仿宋_GB2312" w:cs="Times New Roman"/>
          <w:sz w:val="32"/>
          <w14:ligatures w14:val="none"/>
        </w:rPr>
        <w:t>（一）年度工作计划及中长期发展战略。</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sz w:val="32"/>
          <w14:ligatures w14:val="none"/>
        </w:rPr>
        <w:t>（二）</w:t>
      </w:r>
      <w:r>
        <w:rPr>
          <w:rFonts w:hint="eastAsia" w:ascii="Times New Roman" w:hAnsi="Times New Roman" w:eastAsia="仿宋_GB2312" w:cs="Times New Roman"/>
          <w:bCs/>
          <w:color w:val="000000"/>
          <w:sz w:val="32"/>
          <w14:ligatures w14:val="none"/>
        </w:rPr>
        <w:t>本技术领域标准体系。</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（三）标准制修订需求和立项建议。</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（四）标准草案技术审查。</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（五）委员调整建议。</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二十三</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协调机制</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GEI标准工作办公室牵头负责各技术委员会之间的沟通协调。各技术委员会秘书处可指定1名联络员跟进其他技术委员会的工作。联络员可以获得所负责联络技术委员会的资料和文件，参加所负责联络技术委员会的活动，提出意见建议，无表决权。</w:t>
      </w:r>
    </w:p>
    <w:p>
      <w:pPr>
        <w:spacing w:before="156" w:beforeLines="50" w:after="0" w:line="580" w:lineRule="exact"/>
        <w:ind w:firstLine="643" w:firstLineChars="200"/>
        <w:rPr>
          <w:rFonts w:hint="eastAsia" w:ascii="Times New Roman" w:hAnsi="Times New Roman" w:eastAsia="仿宋_GB2312" w:cs="Times New Roman"/>
          <w:bCs/>
          <w:color w:val="000000"/>
          <w:sz w:val="32"/>
          <w14:ligatures w14:val="none"/>
        </w:rPr>
      </w:pPr>
      <w:r>
        <w:rPr>
          <w:rFonts w:ascii="Times New Roman" w:hAnsi="Times New Roman" w:eastAsia="仿宋_GB2312" w:cs="Times New Roman"/>
          <w:b/>
          <w:color w:val="000000"/>
          <w:sz w:val="32"/>
          <w14:ligatures w14:val="none"/>
        </w:rPr>
        <w:t>第</w:t>
      </w:r>
      <w:r>
        <w:rPr>
          <w:rFonts w:hint="eastAsia" w:ascii="Times New Roman" w:hAnsi="Times New Roman" w:eastAsia="仿宋_GB2312" w:cs="Times New Roman"/>
          <w:b/>
          <w:color w:val="000000"/>
          <w:sz w:val="32"/>
          <w14:ligatures w14:val="none"/>
        </w:rPr>
        <w:t>二十四</w:t>
      </w:r>
      <w:r>
        <w:rPr>
          <w:rFonts w:ascii="Times New Roman" w:hAnsi="Times New Roman" w:eastAsia="仿宋_GB2312" w:cs="Times New Roman"/>
          <w:b/>
          <w:color w:val="000000"/>
          <w:sz w:val="32"/>
          <w14:ligatures w14:val="none"/>
        </w:rPr>
        <w:t>条</w:t>
      </w:r>
      <w:r>
        <w:rPr>
          <w:rFonts w:hint="eastAsia" w:ascii="Times New Roman" w:hAnsi="Times New Roman" w:eastAsia="仿宋_GB2312" w:cs="Times New Roman"/>
          <w:b/>
          <w:color w:val="000000"/>
          <w:sz w:val="32"/>
          <w14:ligatures w14:val="none"/>
        </w:rPr>
        <w:t xml:space="preserve"> </w:t>
      </w:r>
      <w:r>
        <w:rPr>
          <w:rFonts w:hint="eastAsia" w:ascii="Times New Roman" w:hAnsi="Times New Roman" w:eastAsia="仿宋_GB2312" w:cs="Times New Roman"/>
          <w:bCs/>
          <w:color w:val="000000"/>
          <w:sz w:val="32"/>
          <w14:ligatures w14:val="none"/>
        </w:rPr>
        <w:t>保障机制</w:t>
      </w:r>
    </w:p>
    <w:p>
      <w:pPr>
        <w:spacing w:after="0" w:line="580" w:lineRule="exact"/>
        <w:ind w:firstLine="640" w:firstLineChars="200"/>
        <w:rPr>
          <w:rFonts w:hint="eastAsia" w:ascii="Times New Roman" w:hAnsi="Times New Roman" w:eastAsia="仿宋_GB2312" w:cs="Times New Roman"/>
          <w:bCs/>
          <w:color w:val="000000"/>
          <w:sz w:val="32"/>
          <w14:ligatures w14:val="none"/>
        </w:rPr>
      </w:pPr>
      <w:r>
        <w:rPr>
          <w:rFonts w:hint="eastAsia" w:ascii="Times New Roman" w:hAnsi="Times New Roman" w:eastAsia="仿宋_GB2312" w:cs="Times New Roman"/>
          <w:bCs/>
          <w:color w:val="000000"/>
          <w:sz w:val="32"/>
          <w14:ligatures w14:val="none"/>
        </w:rPr>
        <w:t>秘书处承担单位应为秘书处开展工作提供必要的人员、经费和办公条件，保障技术委员会各项工作顺利开展。</w:t>
      </w:r>
    </w:p>
    <w:p>
      <w:pPr>
        <w:spacing w:before="312" w:beforeLines="100" w:after="312" w:afterLines="100" w:line="580" w:lineRule="exact"/>
        <w:jc w:val="center"/>
        <w:rPr>
          <w:rFonts w:ascii="Times New Roman" w:hAnsi="Times New Roman" w:eastAsia="黑体" w:cs="Times New Roman"/>
          <w:color w:val="000000"/>
          <w:sz w:val="32"/>
          <w14:ligatures w14:val="none"/>
        </w:rPr>
      </w:pPr>
      <w:r>
        <w:rPr>
          <w:rFonts w:ascii="Times New Roman" w:hAnsi="Times New Roman" w:eastAsia="黑体" w:cs="Times New Roman"/>
          <w:color w:val="000000"/>
          <w:sz w:val="32"/>
          <w14:ligatures w14:val="none"/>
        </w:rPr>
        <w:t>第</w:t>
      </w:r>
      <w:r>
        <w:rPr>
          <w:rFonts w:hint="eastAsia" w:ascii="Times New Roman" w:hAnsi="Times New Roman" w:eastAsia="黑体" w:cs="Times New Roman"/>
          <w:color w:val="000000"/>
          <w:sz w:val="32"/>
          <w14:ligatures w14:val="none"/>
        </w:rPr>
        <w:t>六</w:t>
      </w:r>
      <w:r>
        <w:rPr>
          <w:rFonts w:ascii="Times New Roman" w:hAnsi="Times New Roman" w:eastAsia="黑体" w:cs="Times New Roman"/>
          <w:color w:val="000000"/>
          <w:sz w:val="32"/>
          <w14:ligatures w14:val="none"/>
        </w:rPr>
        <w:t>章</w:t>
      </w:r>
      <w:r>
        <w:rPr>
          <w:rFonts w:hint="eastAsia" w:ascii="Times New Roman" w:hAnsi="Times New Roman" w:eastAsia="黑体" w:cs="Times New Roman"/>
          <w:color w:val="000000"/>
          <w:sz w:val="32"/>
          <w14:ligatures w14:val="none"/>
        </w:rPr>
        <w:t xml:space="preserve"> </w:t>
      </w:r>
      <w:r>
        <w:rPr>
          <w:rFonts w:ascii="Times New Roman" w:hAnsi="Times New Roman" w:eastAsia="黑体" w:cs="Times New Roman"/>
          <w:color w:val="000000"/>
          <w:sz w:val="32"/>
          <w14:ligatures w14:val="none"/>
        </w:rPr>
        <w:t>附 则</w:t>
      </w:r>
    </w:p>
    <w:p>
      <w:pPr>
        <w:spacing w:after="0" w:line="580" w:lineRule="exact"/>
        <w:ind w:firstLine="643" w:firstLineChars="200"/>
        <w:jc w:val="left"/>
        <w:rPr>
          <w:rFonts w:ascii="Times New Roman" w:hAnsi="Times New Roman" w:eastAsia="仿宋_GB2312" w:cs="Times New Roman"/>
          <w:b/>
          <w:sz w:val="32"/>
          <w14:ligatures w14:val="none"/>
        </w:rPr>
      </w:pPr>
      <w:r>
        <w:rPr>
          <w:rFonts w:ascii="Times New Roman" w:hAnsi="Times New Roman" w:eastAsia="仿宋_GB2312" w:cs="Times New Roman"/>
          <w:b/>
          <w:sz w:val="32"/>
          <w14:ligatures w14:val="none"/>
        </w:rPr>
        <w:t>第</w:t>
      </w:r>
      <w:r>
        <w:rPr>
          <w:rFonts w:hint="eastAsia" w:ascii="Times New Roman" w:hAnsi="Times New Roman" w:eastAsia="仿宋_GB2312" w:cs="Times New Roman"/>
          <w:b/>
          <w:sz w:val="32"/>
          <w14:ligatures w14:val="none"/>
        </w:rPr>
        <w:t>二十五</w:t>
      </w:r>
      <w:r>
        <w:rPr>
          <w:rFonts w:ascii="Times New Roman" w:hAnsi="Times New Roman" w:eastAsia="仿宋_GB2312" w:cs="Times New Roman"/>
          <w:b/>
          <w:sz w:val="32"/>
          <w14:ligatures w14:val="none"/>
        </w:rPr>
        <w:t>条</w:t>
      </w:r>
      <w:r>
        <w:rPr>
          <w:rFonts w:ascii="Times New Roman" w:hAnsi="Times New Roman" w:eastAsia="仿宋_GB2312" w:cs="Times New Roman"/>
          <w:sz w:val="32"/>
          <w14:ligatures w14:val="none"/>
        </w:rPr>
        <w:t xml:space="preserve"> 本</w:t>
      </w:r>
      <w:r>
        <w:rPr>
          <w:rFonts w:hint="eastAsia" w:ascii="Times New Roman" w:hAnsi="Times New Roman" w:eastAsia="仿宋_GB2312" w:cs="Times New Roman"/>
          <w:sz w:val="32"/>
          <w14:ligatures w14:val="none"/>
        </w:rPr>
        <w:t>细则</w:t>
      </w:r>
      <w:r>
        <w:rPr>
          <w:rFonts w:ascii="Times New Roman" w:hAnsi="Times New Roman" w:eastAsia="仿宋_GB2312" w:cs="Times New Roman"/>
          <w:sz w:val="32"/>
          <w14:ligatures w14:val="none"/>
        </w:rPr>
        <w:t>由合作组织负责解释</w:t>
      </w:r>
      <w:r>
        <w:rPr>
          <w:rFonts w:ascii="Times New Roman" w:hAnsi="Times New Roman" w:eastAsia="仿宋_GB2312" w:cs="Times New Roman"/>
          <w:b/>
          <w:sz w:val="32"/>
          <w14:ligatures w14:val="none"/>
        </w:rPr>
        <w:t>。</w:t>
      </w:r>
    </w:p>
    <w:p>
      <w:pPr>
        <w:spacing w:after="0" w:line="240" w:lineRule="auto"/>
        <w:jc w:val="left"/>
        <w:rPr>
          <w:rFonts w:ascii="方正小标宋_GBK" w:hAnsi="方正小标宋_GBK" w:eastAsia="方正小标宋_GBK" w:cs="方正小标宋_GBK"/>
          <w:sz w:val="30"/>
          <w:szCs w:val="30"/>
          <w14:ligatures w14:val="none"/>
        </w:rPr>
      </w:pPr>
      <w:r>
        <w:rPr>
          <w:rFonts w:ascii="Times New Roman" w:hAnsi="Times New Roman" w:eastAsia="仿宋_GB2312" w:cs="Times New Roman"/>
          <w:sz w:val="32"/>
          <w14:ligatures w14:val="none"/>
        </w:rPr>
        <w:br w:type="page"/>
      </w:r>
    </w:p>
    <w:p>
      <w:pPr>
        <w:adjustRightInd w:val="0"/>
        <w:snapToGrid w:val="0"/>
        <w:spacing w:after="312" w:afterLines="100" w:line="240" w:lineRule="atLeast"/>
        <w:jc w:val="center"/>
        <w:rPr>
          <w:rFonts w:hint="default" w:ascii="Times New Roman" w:hAnsi="Times New Roman" w:eastAsia="方正小标宋_GBK" w:cs="Times New Roman"/>
          <w:b/>
          <w:bCs/>
          <w:sz w:val="32"/>
          <w:szCs w:val="32"/>
          <w14:ligatures w14:val="none"/>
        </w:rPr>
      </w:pPr>
      <w:r>
        <w:rPr>
          <w:rFonts w:hint="default" w:ascii="Times New Roman" w:hAnsi="Times New Roman" w:eastAsia="方正小标宋_GBK" w:cs="Times New Roman"/>
          <w:b/>
          <w:bCs/>
          <w:sz w:val="32"/>
          <w:szCs w:val="32"/>
          <w14:ligatures w14:val="none"/>
        </w:rPr>
        <w:t>Rules of Procedure of GEI Standards Technical Committee (Draft)</w:t>
      </w:r>
    </w:p>
    <w:p>
      <w:pPr>
        <w:adjustRightInd w:val="0"/>
        <w:snapToGrid w:val="0"/>
        <w:spacing w:after="312" w:afterLines="100" w:line="240" w:lineRule="auto"/>
        <w:outlineLvl w:val="0"/>
        <w:rPr>
          <w:rFonts w:hint="default" w:ascii="Times New Roman" w:hAnsi="Times New Roman" w:eastAsia="黑体" w:cs="Times New Roman"/>
          <w:b/>
          <w:bCs/>
          <w:sz w:val="28"/>
          <w:szCs w:val="21"/>
          <w14:ligatures w14:val="none"/>
        </w:rPr>
      </w:pPr>
      <w:r>
        <w:rPr>
          <w:rFonts w:hint="default" w:ascii="Times New Roman" w:hAnsi="Times New Roman" w:eastAsia="Times New Roman" w:cs="Times New Roman"/>
          <w:b/>
          <w:bCs/>
          <w:sz w:val="28"/>
          <w:szCs w:val="21"/>
          <w14:ligatures w14:val="none"/>
        </w:rPr>
        <w:t>Chapter I General Provisions</w:t>
      </w:r>
    </w:p>
    <w:p>
      <w:pPr>
        <w:adjustRightInd w:val="0"/>
        <w:snapToGrid w:val="0"/>
        <w:spacing w:after="312" w:afterLines="100" w:line="360" w:lineRule="auto"/>
        <w:rPr>
          <w:rFonts w:hint="default" w:ascii="Times New Roman" w:hAnsi="Times New Roman" w:eastAsia="宋体" w:cs="Times New Roman"/>
          <w:sz w:val="32"/>
          <w14:ligatures w14:val="none"/>
        </w:rPr>
      </w:pPr>
      <w:r>
        <w:rPr>
          <w:rFonts w:hint="default" w:ascii="Times New Roman" w:hAnsi="Times New Roman" w:eastAsia="Times New Roman" w:cs="Times New Roman"/>
          <w:b/>
          <w:bCs/>
          <w:sz w:val="24"/>
          <w:szCs w:val="20"/>
          <w14:ligatures w14:val="none"/>
        </w:rPr>
        <w:t xml:space="preserve">Article 1 </w:t>
      </w:r>
      <w:r>
        <w:rPr>
          <w:rFonts w:hint="default" w:ascii="Times New Roman" w:hAnsi="Times New Roman" w:eastAsia="Times New Roman" w:cs="Times New Roman"/>
          <w:sz w:val="24"/>
          <w:szCs w:val="20"/>
          <w14:ligatures w14:val="none"/>
        </w:rPr>
        <w:t>To fully leverage</w:t>
      </w:r>
      <w:r>
        <w:rPr>
          <w:rFonts w:hint="default" w:ascii="Times New Roman" w:hAnsi="Times New Roman" w:eastAsia="宋体" w:cs="Times New Roman"/>
          <w:sz w:val="24"/>
          <w:szCs w:val="20"/>
          <w14:ligatures w14:val="none"/>
        </w:rPr>
        <w:t xml:space="preserve"> the role of the GEI Standards Technical Committee (TC), these Rules of Procedure are formulated in accordance with the </w:t>
      </w:r>
      <w:r>
        <w:rPr>
          <w:rFonts w:hint="default" w:ascii="Times New Roman" w:hAnsi="Times New Roman" w:eastAsia="宋体" w:cs="Times New Roman"/>
          <w:i/>
          <w:iCs/>
          <w:sz w:val="24"/>
          <w:szCs w:val="20"/>
          <w14:ligatures w14:val="none"/>
        </w:rPr>
        <w:t>Directives for GEI Standards (for Trial Implementation)</w:t>
      </w:r>
      <w:r>
        <w:rPr>
          <w:rFonts w:hint="default" w:ascii="Times New Roman" w:hAnsi="Times New Roman" w:eastAsia="宋体" w:cs="Times New Roman"/>
          <w:sz w:val="24"/>
          <w:szCs w:val="20"/>
          <w14:ligatures w14:val="none"/>
        </w:rPr>
        <w:t>.</w:t>
      </w:r>
    </w:p>
    <w:p>
      <w:pPr>
        <w:adjustRightInd w:val="0"/>
        <w:snapToGrid w:val="0"/>
        <w:spacing w:after="312" w:afterLines="100" w:line="360" w:lineRule="auto"/>
        <w:rPr>
          <w:rFonts w:hint="default" w:ascii="Times New Roman" w:hAnsi="Times New Roman" w:eastAsia="Times New Roman" w:cs="Times New Roman"/>
          <w:sz w:val="24"/>
          <w:szCs w:val="20"/>
          <w14:ligatures w14:val="none"/>
        </w:rPr>
      </w:pPr>
      <w:r>
        <w:rPr>
          <w:rFonts w:hint="default" w:ascii="Times New Roman" w:hAnsi="Times New Roman" w:eastAsia="Times New Roman" w:cs="Times New Roman"/>
          <w:b/>
          <w:bCs/>
          <w:sz w:val="24"/>
          <w:szCs w:val="20"/>
          <w14:ligatures w14:val="none"/>
        </w:rPr>
        <w:t>Article 2</w:t>
      </w:r>
      <w:r>
        <w:rPr>
          <w:rFonts w:hint="default" w:ascii="Times New Roman" w:hAnsi="Times New Roman" w:eastAsia="Times New Roman" w:cs="Times New Roman"/>
          <w:sz w:val="24"/>
          <w:szCs w:val="20"/>
          <w14:ligatures w14:val="none"/>
        </w:rPr>
        <w:t xml:space="preserve"> </w:t>
      </w:r>
      <w:r>
        <w:rPr>
          <w:rFonts w:hint="default" w:ascii="Times New Roman" w:hAnsi="Times New Roman" w:eastAsia="宋体" w:cs="Times New Roman"/>
          <w:sz w:val="24"/>
          <w:szCs w:val="20"/>
          <w14:ligatures w14:val="none"/>
        </w:rPr>
        <w:t>The TC</w:t>
      </w:r>
      <w:r>
        <w:rPr>
          <w:rFonts w:hint="default" w:ascii="Times New Roman" w:hAnsi="Times New Roman" w:eastAsia="Times New Roman" w:cs="Times New Roman"/>
          <w:sz w:val="24"/>
          <w:szCs w:val="20"/>
          <w14:ligatures w14:val="none"/>
        </w:rPr>
        <w:t xml:space="preserve"> </w:t>
      </w:r>
      <w:r>
        <w:rPr>
          <w:rFonts w:hint="default" w:ascii="Times New Roman" w:hAnsi="Times New Roman" w:eastAsia="宋体" w:cs="Times New Roman"/>
          <w:sz w:val="24"/>
          <w:szCs w:val="20"/>
          <w14:ligatures w14:val="none"/>
        </w:rPr>
        <w:t>is</w:t>
      </w:r>
      <w:r>
        <w:rPr>
          <w:rFonts w:hint="default" w:ascii="Times New Roman" w:hAnsi="Times New Roman" w:eastAsia="Times New Roman" w:cs="Times New Roman"/>
          <w:sz w:val="24"/>
          <w:szCs w:val="20"/>
          <w14:ligatures w14:val="none"/>
        </w:rPr>
        <w:t xml:space="preserve"> the technical governing body for standardization work in </w:t>
      </w:r>
      <w:r>
        <w:rPr>
          <w:rFonts w:hint="default" w:ascii="Times New Roman" w:hAnsi="Times New Roman" w:eastAsia="宋体" w:cs="Times New Roman"/>
          <w:sz w:val="24"/>
          <w:szCs w:val="20"/>
          <w14:ligatures w14:val="none"/>
        </w:rPr>
        <w:t>its</w:t>
      </w:r>
      <w:r>
        <w:rPr>
          <w:rFonts w:hint="default" w:ascii="Times New Roman" w:hAnsi="Times New Roman" w:eastAsia="Times New Roman" w:cs="Times New Roman"/>
          <w:sz w:val="24"/>
          <w:szCs w:val="20"/>
          <w14:ligatures w14:val="none"/>
        </w:rPr>
        <w:t xml:space="preserve"> professional fields related to the Global Energy Interconnection. Its core responsibilities include:</w:t>
      </w:r>
      <w:r>
        <w:rPr>
          <w:rFonts w:hint="default" w:ascii="Times New Roman" w:hAnsi="Times New Roman" w:eastAsia="Times New Roman" w:cs="Times New Roman"/>
          <w:sz w:val="24"/>
          <w:szCs w:val="20"/>
          <w14:ligatures w14:val="none"/>
        </w:rPr>
        <w:br w:type="textWrapping"/>
      </w:r>
      <w:r>
        <w:rPr>
          <w:rFonts w:hint="default" w:ascii="Times New Roman" w:hAnsi="Times New Roman" w:eastAsia="Times New Roman" w:cs="Times New Roman"/>
          <w:sz w:val="24"/>
          <w:szCs w:val="20"/>
          <w14:ligatures w14:val="none"/>
        </w:rPr>
        <w:t>(</w:t>
      </w:r>
      <w:r>
        <w:rPr>
          <w:rFonts w:hint="default" w:ascii="Times New Roman" w:hAnsi="Times New Roman" w:eastAsia="宋体" w:cs="Times New Roman"/>
          <w:sz w:val="24"/>
          <w:szCs w:val="20"/>
          <w14:ligatures w14:val="none"/>
        </w:rPr>
        <w:t>I</w:t>
      </w:r>
      <w:r>
        <w:rPr>
          <w:rFonts w:hint="default" w:ascii="Times New Roman" w:hAnsi="Times New Roman" w:eastAsia="Times New Roman" w:cs="Times New Roman"/>
          <w:sz w:val="24"/>
          <w:szCs w:val="20"/>
          <w14:ligatures w14:val="none"/>
        </w:rPr>
        <w:t xml:space="preserve">) Conduct research on standardization </w:t>
      </w:r>
      <w:r>
        <w:rPr>
          <w:rFonts w:hint="default" w:ascii="Times New Roman" w:hAnsi="Times New Roman" w:eastAsia="宋体" w:cs="Times New Roman"/>
          <w:sz w:val="24"/>
          <w:szCs w:val="20"/>
          <w14:ligatures w14:val="none"/>
        </w:rPr>
        <w:t>demand</w:t>
      </w:r>
      <w:r>
        <w:rPr>
          <w:rFonts w:hint="default" w:ascii="Times New Roman" w:hAnsi="Times New Roman" w:eastAsia="Times New Roman" w:cs="Times New Roman"/>
          <w:sz w:val="24"/>
          <w:szCs w:val="20"/>
          <w14:ligatures w14:val="none"/>
        </w:rPr>
        <w:t xml:space="preserve"> and collect </w:t>
      </w:r>
      <w:r>
        <w:rPr>
          <w:rFonts w:hint="default" w:ascii="Times New Roman" w:hAnsi="Times New Roman" w:eastAsia="宋体" w:cs="Times New Roman"/>
          <w:sz w:val="24"/>
          <w:szCs w:val="20"/>
          <w14:ligatures w14:val="none"/>
        </w:rPr>
        <w:t>n</w:t>
      </w:r>
      <w:r>
        <w:rPr>
          <w:rFonts w:hint="default" w:ascii="Times New Roman" w:hAnsi="Times New Roman" w:eastAsia="Times New Roman" w:cs="Times New Roman"/>
          <w:sz w:val="24"/>
          <w:szCs w:val="20"/>
          <w14:ligatures w14:val="none"/>
        </w:rPr>
        <w:t>ew work item proposal</w:t>
      </w:r>
      <w:r>
        <w:rPr>
          <w:rFonts w:hint="default" w:ascii="Times New Roman" w:hAnsi="Times New Roman" w:eastAsia="宋体" w:cs="Times New Roman"/>
          <w:sz w:val="24"/>
          <w:szCs w:val="20"/>
          <w14:ligatures w14:val="none"/>
        </w:rPr>
        <w:t xml:space="preserve">s </w:t>
      </w:r>
      <w:r>
        <w:rPr>
          <w:rFonts w:hint="default" w:ascii="Times New Roman" w:hAnsi="Times New Roman" w:eastAsia="Times New Roman" w:cs="Times New Roman"/>
          <w:sz w:val="24"/>
          <w:szCs w:val="20"/>
          <w14:ligatures w14:val="none"/>
        </w:rPr>
        <w:t>in its professional field</w:t>
      </w:r>
      <w:r>
        <w:rPr>
          <w:rFonts w:hint="default" w:ascii="Times New Roman" w:hAnsi="Times New Roman" w:eastAsia="宋体" w:cs="Times New Roman"/>
          <w:sz w:val="24"/>
          <w:szCs w:val="20"/>
          <w14:ligatures w14:val="none"/>
        </w:rPr>
        <w:t>.</w:t>
      </w:r>
      <w:r>
        <w:rPr>
          <w:rFonts w:hint="default" w:ascii="Times New Roman" w:hAnsi="Times New Roman" w:eastAsia="宋体" w:cs="Times New Roman"/>
          <w:sz w:val="24"/>
          <w:szCs w:val="20"/>
          <w14:ligatures w14:val="none"/>
        </w:rPr>
        <w:br w:type="textWrapping"/>
      </w:r>
      <w:r>
        <w:rPr>
          <w:rFonts w:hint="default" w:ascii="Times New Roman" w:hAnsi="Times New Roman" w:eastAsia="Times New Roman" w:cs="Times New Roman"/>
          <w:sz w:val="24"/>
          <w:szCs w:val="20"/>
          <w14:ligatures w14:val="none"/>
        </w:rPr>
        <w:t>(</w:t>
      </w:r>
      <w:r>
        <w:rPr>
          <w:rFonts w:hint="default" w:ascii="Times New Roman" w:hAnsi="Times New Roman" w:eastAsia="宋体" w:cs="Times New Roman"/>
          <w:sz w:val="24"/>
          <w:szCs w:val="20"/>
          <w14:ligatures w14:val="none"/>
        </w:rPr>
        <w:t>II</w:t>
      </w:r>
      <w:r>
        <w:rPr>
          <w:rFonts w:hint="default" w:ascii="Times New Roman" w:hAnsi="Times New Roman" w:eastAsia="Times New Roman" w:cs="Times New Roman"/>
          <w:sz w:val="24"/>
          <w:szCs w:val="20"/>
          <w14:ligatures w14:val="none"/>
        </w:rPr>
        <w:t xml:space="preserve">) Review </w:t>
      </w:r>
      <w:r>
        <w:rPr>
          <w:rFonts w:hint="default" w:ascii="Times New Roman" w:hAnsi="Times New Roman" w:eastAsia="宋体" w:cs="Times New Roman"/>
          <w:sz w:val="24"/>
          <w:szCs w:val="20"/>
          <w14:ligatures w14:val="none"/>
        </w:rPr>
        <w:t>n</w:t>
      </w:r>
      <w:r>
        <w:rPr>
          <w:rFonts w:hint="default" w:ascii="Times New Roman" w:hAnsi="Times New Roman" w:eastAsia="Times New Roman" w:cs="Times New Roman"/>
          <w:sz w:val="24"/>
          <w:szCs w:val="20"/>
          <w14:ligatures w14:val="none"/>
        </w:rPr>
        <w:t>ew work item proposal</w:t>
      </w:r>
      <w:r>
        <w:rPr>
          <w:rFonts w:hint="default" w:ascii="Times New Roman" w:hAnsi="Times New Roman" w:eastAsia="宋体" w:cs="Times New Roman"/>
          <w:sz w:val="24"/>
          <w:szCs w:val="20"/>
          <w14:ligatures w14:val="none"/>
        </w:rPr>
        <w:t>s</w:t>
      </w:r>
      <w:r>
        <w:rPr>
          <w:rFonts w:hint="default" w:ascii="Times New Roman" w:hAnsi="Times New Roman" w:eastAsia="Times New Roman" w:cs="Times New Roman"/>
          <w:sz w:val="24"/>
          <w:szCs w:val="20"/>
          <w14:ligatures w14:val="none"/>
        </w:rPr>
        <w:t xml:space="preserve"> in its field</w:t>
      </w:r>
      <w:r>
        <w:rPr>
          <w:rFonts w:hint="default" w:ascii="Times New Roman" w:hAnsi="Times New Roman" w:eastAsia="宋体" w:cs="Times New Roman"/>
          <w:sz w:val="24"/>
          <w:szCs w:val="20"/>
          <w14:ligatures w14:val="none"/>
        </w:rPr>
        <w:t>s</w:t>
      </w:r>
      <w:r>
        <w:rPr>
          <w:rFonts w:hint="default" w:ascii="Times New Roman" w:hAnsi="Times New Roman" w:eastAsia="Times New Roman" w:cs="Times New Roman"/>
          <w:sz w:val="24"/>
          <w:szCs w:val="20"/>
          <w14:ligatures w14:val="none"/>
        </w:rPr>
        <w:t xml:space="preserve"> and </w:t>
      </w:r>
      <w:r>
        <w:rPr>
          <w:rFonts w:hint="default" w:ascii="Times New Roman" w:hAnsi="Times New Roman" w:eastAsia="宋体" w:cs="Times New Roman"/>
          <w:sz w:val="24"/>
          <w:szCs w:val="20"/>
          <w14:ligatures w14:val="none"/>
        </w:rPr>
        <w:t>render review decisions.</w:t>
      </w:r>
      <w:r>
        <w:rPr>
          <w:rFonts w:hint="default" w:ascii="Times New Roman" w:hAnsi="Times New Roman" w:eastAsia="宋体" w:cs="Times New Roman"/>
          <w:sz w:val="24"/>
          <w:szCs w:val="20"/>
          <w14:ligatures w14:val="none"/>
        </w:rPr>
        <w:br w:type="textWrapping"/>
      </w:r>
      <w:r>
        <w:rPr>
          <w:rFonts w:hint="default" w:ascii="Times New Roman" w:hAnsi="Times New Roman" w:eastAsia="Times New Roman" w:cs="Times New Roman"/>
          <w:sz w:val="24"/>
          <w:szCs w:val="20"/>
          <w14:ligatures w14:val="none"/>
        </w:rPr>
        <w:t>(</w:t>
      </w:r>
      <w:r>
        <w:rPr>
          <w:rFonts w:hint="default" w:ascii="Times New Roman" w:hAnsi="Times New Roman" w:eastAsia="宋体" w:cs="Times New Roman"/>
          <w:sz w:val="24"/>
          <w:szCs w:val="20"/>
          <w14:ligatures w14:val="none"/>
        </w:rPr>
        <w:t>III</w:t>
      </w:r>
      <w:r>
        <w:rPr>
          <w:rFonts w:hint="default" w:ascii="Times New Roman" w:hAnsi="Times New Roman" w:eastAsia="Times New Roman" w:cs="Times New Roman"/>
          <w:sz w:val="24"/>
          <w:szCs w:val="20"/>
          <w14:ligatures w14:val="none"/>
        </w:rPr>
        <w:t>) Approv</w:t>
      </w:r>
      <w:r>
        <w:rPr>
          <w:rFonts w:hint="default" w:ascii="Times New Roman" w:hAnsi="Times New Roman" w:eastAsia="宋体" w:cs="Times New Roman"/>
          <w:sz w:val="24"/>
          <w:szCs w:val="20"/>
          <w14:ligatures w14:val="none"/>
        </w:rPr>
        <w:t>e</w:t>
      </w:r>
      <w:r>
        <w:rPr>
          <w:rFonts w:hint="default" w:ascii="Times New Roman" w:hAnsi="Times New Roman" w:eastAsia="Times New Roman" w:cs="Times New Roman"/>
          <w:sz w:val="24"/>
          <w:szCs w:val="20"/>
          <w14:ligatures w14:val="none"/>
        </w:rPr>
        <w:t xml:space="preserve"> the establishment of </w:t>
      </w:r>
      <w:r>
        <w:rPr>
          <w:rFonts w:hint="default" w:ascii="Times New Roman" w:hAnsi="Times New Roman" w:eastAsia="宋体" w:cs="Times New Roman"/>
          <w:sz w:val="24"/>
          <w:szCs w:val="20"/>
          <w14:ligatures w14:val="none"/>
        </w:rPr>
        <w:t>W</w:t>
      </w:r>
      <w:r>
        <w:rPr>
          <w:rFonts w:hint="default" w:ascii="Times New Roman" w:hAnsi="Times New Roman" w:eastAsia="Times New Roman" w:cs="Times New Roman"/>
          <w:sz w:val="24"/>
          <w:szCs w:val="20"/>
          <w14:ligatures w14:val="none"/>
        </w:rPr>
        <w:t xml:space="preserve">orking </w:t>
      </w:r>
      <w:r>
        <w:rPr>
          <w:rFonts w:hint="default" w:ascii="Times New Roman" w:hAnsi="Times New Roman" w:eastAsia="宋体" w:cs="Times New Roman"/>
          <w:sz w:val="24"/>
          <w:szCs w:val="20"/>
          <w14:ligatures w14:val="none"/>
        </w:rPr>
        <w:t>G</w:t>
      </w:r>
      <w:r>
        <w:rPr>
          <w:rFonts w:hint="default" w:ascii="Times New Roman" w:hAnsi="Times New Roman" w:eastAsia="Times New Roman" w:cs="Times New Roman"/>
          <w:sz w:val="24"/>
          <w:szCs w:val="20"/>
          <w14:ligatures w14:val="none"/>
        </w:rPr>
        <w:t>roups</w:t>
      </w:r>
      <w:r>
        <w:rPr>
          <w:rFonts w:hint="default" w:ascii="Times New Roman" w:hAnsi="Times New Roman" w:eastAsia="宋体" w:cs="Times New Roman"/>
          <w:sz w:val="24"/>
          <w:szCs w:val="20"/>
          <w14:ligatures w14:val="none"/>
        </w:rPr>
        <w:t xml:space="preserve"> (WGs) </w:t>
      </w:r>
      <w:r>
        <w:rPr>
          <w:rFonts w:hint="default" w:ascii="Times New Roman" w:hAnsi="Times New Roman" w:eastAsia="Times New Roman" w:cs="Times New Roman"/>
          <w:sz w:val="24"/>
          <w:szCs w:val="20"/>
          <w14:ligatures w14:val="none"/>
        </w:rPr>
        <w:t>in its field and coordinat</w:t>
      </w:r>
      <w:r>
        <w:rPr>
          <w:rFonts w:hint="default" w:ascii="Times New Roman" w:hAnsi="Times New Roman" w:eastAsia="宋体" w:cs="Times New Roman"/>
          <w:sz w:val="24"/>
          <w:szCs w:val="20"/>
          <w14:ligatures w14:val="none"/>
        </w:rPr>
        <w:t>e</w:t>
      </w:r>
      <w:r>
        <w:rPr>
          <w:rFonts w:hint="default" w:ascii="Times New Roman" w:hAnsi="Times New Roman" w:eastAsia="Times New Roman" w:cs="Times New Roman"/>
          <w:sz w:val="24"/>
          <w:szCs w:val="20"/>
          <w14:ligatures w14:val="none"/>
        </w:rPr>
        <w:t xml:space="preserve"> cross-working group collaboration</w:t>
      </w:r>
      <w:r>
        <w:rPr>
          <w:rFonts w:hint="default" w:ascii="Times New Roman" w:hAnsi="Times New Roman" w:eastAsia="宋体" w:cs="Times New Roman"/>
          <w:sz w:val="24"/>
          <w:szCs w:val="20"/>
          <w14:ligatures w14:val="none"/>
        </w:rPr>
        <w:t>.</w:t>
      </w:r>
      <w:r>
        <w:rPr>
          <w:rFonts w:hint="default" w:ascii="Times New Roman" w:hAnsi="Times New Roman" w:eastAsia="宋体" w:cs="Times New Roman"/>
          <w:sz w:val="24"/>
          <w:szCs w:val="20"/>
          <w14:ligatures w14:val="none"/>
        </w:rPr>
        <w:br w:type="textWrapping"/>
      </w:r>
      <w:r>
        <w:rPr>
          <w:rFonts w:hint="default" w:ascii="Times New Roman" w:hAnsi="Times New Roman" w:eastAsia="Times New Roman" w:cs="Times New Roman"/>
          <w:sz w:val="24"/>
          <w:szCs w:val="20"/>
          <w14:ligatures w14:val="none"/>
        </w:rPr>
        <w:t>(</w:t>
      </w:r>
      <w:r>
        <w:rPr>
          <w:rFonts w:hint="default" w:ascii="Times New Roman" w:hAnsi="Times New Roman" w:eastAsia="宋体" w:cs="Times New Roman"/>
          <w:sz w:val="24"/>
          <w:szCs w:val="20"/>
          <w14:ligatures w14:val="none"/>
        </w:rPr>
        <w:t>IV</w:t>
      </w:r>
      <w:r>
        <w:rPr>
          <w:rFonts w:hint="default" w:ascii="Times New Roman" w:hAnsi="Times New Roman" w:eastAsia="Times New Roman" w:cs="Times New Roman"/>
          <w:sz w:val="24"/>
          <w:szCs w:val="20"/>
          <w14:ligatures w14:val="none"/>
        </w:rPr>
        <w:t xml:space="preserve">) </w:t>
      </w:r>
      <w:r>
        <w:rPr>
          <w:rFonts w:hint="default" w:ascii="Times New Roman" w:hAnsi="Times New Roman" w:eastAsia="宋体" w:cs="Times New Roman"/>
          <w:sz w:val="24"/>
          <w:szCs w:val="20"/>
          <w14:ligatures w14:val="none"/>
        </w:rPr>
        <w:t>Monitor and guide</w:t>
      </w:r>
      <w:r>
        <w:rPr>
          <w:rFonts w:hint="default" w:ascii="Times New Roman" w:hAnsi="Times New Roman" w:eastAsia="Times New Roman" w:cs="Times New Roman"/>
          <w:sz w:val="24"/>
          <w:szCs w:val="20"/>
          <w14:ligatures w14:val="none"/>
        </w:rPr>
        <w:t xml:space="preserve"> the implementation of standard projects</w:t>
      </w:r>
      <w:r>
        <w:rPr>
          <w:rFonts w:hint="default" w:ascii="Times New Roman" w:hAnsi="Times New Roman" w:eastAsia="宋体" w:cs="Times New Roman"/>
          <w:sz w:val="24"/>
          <w:szCs w:val="20"/>
          <w14:ligatures w14:val="none"/>
        </w:rPr>
        <w:t xml:space="preserve">, review draft </w:t>
      </w:r>
      <w:r>
        <w:rPr>
          <w:rFonts w:hint="default" w:ascii="Times New Roman" w:hAnsi="Times New Roman" w:eastAsia="Times New Roman" w:cs="Times New Roman"/>
          <w:sz w:val="24"/>
          <w:szCs w:val="20"/>
          <w14:ligatures w14:val="none"/>
        </w:rPr>
        <w:t>standards in its field</w:t>
      </w:r>
      <w:r>
        <w:rPr>
          <w:rFonts w:hint="default" w:ascii="Times New Roman" w:hAnsi="Times New Roman" w:eastAsia="宋体" w:cs="Times New Roman"/>
          <w:sz w:val="24"/>
          <w:szCs w:val="20"/>
          <w14:ligatures w14:val="none"/>
        </w:rPr>
        <w:t xml:space="preserve"> </w:t>
      </w:r>
      <w:r>
        <w:rPr>
          <w:rFonts w:hint="default" w:ascii="Times New Roman" w:hAnsi="Times New Roman" w:eastAsia="Times New Roman" w:cs="Times New Roman"/>
          <w:sz w:val="24"/>
          <w:szCs w:val="20"/>
          <w14:ligatures w14:val="none"/>
        </w:rPr>
        <w:t xml:space="preserve">and </w:t>
      </w:r>
      <w:r>
        <w:rPr>
          <w:rFonts w:hint="default" w:ascii="Times New Roman" w:hAnsi="Times New Roman" w:eastAsia="宋体" w:cs="Times New Roman"/>
          <w:sz w:val="24"/>
          <w:szCs w:val="20"/>
          <w14:ligatures w14:val="none"/>
        </w:rPr>
        <w:t>render review decisions</w:t>
      </w:r>
      <w:r>
        <w:rPr>
          <w:rFonts w:hint="default" w:ascii="Times New Roman" w:hAnsi="Times New Roman" w:eastAsia="Times New Roman" w:cs="Times New Roman"/>
          <w:sz w:val="24"/>
          <w:szCs w:val="20"/>
          <w14:ligatures w14:val="none"/>
        </w:rPr>
        <w:t>.</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3</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Times New Roman" w:cs="Times New Roman"/>
          <w:sz w:val="24"/>
          <w:szCs w:val="20"/>
          <w14:ligatures w14:val="none"/>
        </w:rPr>
        <w:t xml:space="preserve">Matters concerning the layout planning, establishment, optimization and adjustment of </w:t>
      </w:r>
      <w:r>
        <w:rPr>
          <w:rFonts w:hint="default" w:ascii="Times New Roman" w:hAnsi="Times New Roman" w:eastAsia="宋体" w:cs="Times New Roman"/>
          <w:sz w:val="24"/>
          <w:szCs w:val="20"/>
          <w14:ligatures w14:val="none"/>
        </w:rPr>
        <w:t>TC</w:t>
      </w:r>
      <w:r>
        <w:rPr>
          <w:rFonts w:hint="default" w:ascii="Times New Roman" w:hAnsi="Times New Roman" w:eastAsia="Times New Roman" w:cs="Times New Roman"/>
          <w:sz w:val="24"/>
          <w:szCs w:val="20"/>
          <w14:ligatures w14:val="none"/>
        </w:rPr>
        <w:t xml:space="preserve"> shall be uniformly administered by the GEI Standards </w:t>
      </w:r>
      <w:r>
        <w:rPr>
          <w:rFonts w:hint="default" w:ascii="Times New Roman" w:hAnsi="Times New Roman" w:eastAsia="宋体" w:cs="Times New Roman"/>
          <w:sz w:val="24"/>
          <w:szCs w:val="20"/>
          <w14:ligatures w14:val="none"/>
        </w:rPr>
        <w:t xml:space="preserve">Management </w:t>
      </w:r>
      <w:r>
        <w:rPr>
          <w:rFonts w:hint="default" w:ascii="Times New Roman" w:hAnsi="Times New Roman" w:eastAsia="Times New Roman" w:cs="Times New Roman"/>
          <w:sz w:val="24"/>
          <w:szCs w:val="20"/>
          <w14:ligatures w14:val="none"/>
        </w:rPr>
        <w:t>Committee</w:t>
      </w:r>
      <w:r>
        <w:rPr>
          <w:rFonts w:hint="default" w:ascii="Times New Roman" w:hAnsi="Times New Roman" w:eastAsia="宋体" w:cs="Times New Roman"/>
          <w:sz w:val="24"/>
          <w:szCs w:val="20"/>
          <w14:ligatures w14:val="none"/>
        </w:rPr>
        <w:t xml:space="preserve"> (</w:t>
      </w:r>
      <w:r>
        <w:rPr>
          <w:rFonts w:hint="default" w:ascii="Times New Roman" w:hAnsi="Times New Roman" w:eastAsia="Times New Roman" w:cs="Times New Roman"/>
          <w:sz w:val="24"/>
          <w:szCs w:val="20"/>
          <w14:ligatures w14:val="none"/>
        </w:rPr>
        <w:t xml:space="preserve">Standards </w:t>
      </w:r>
      <w:r>
        <w:rPr>
          <w:rFonts w:hint="default" w:ascii="Times New Roman" w:hAnsi="Times New Roman" w:eastAsia="宋体" w:cs="Times New Roman"/>
          <w:sz w:val="24"/>
          <w:szCs w:val="20"/>
          <w14:ligatures w14:val="none"/>
        </w:rPr>
        <w:t xml:space="preserve">Management </w:t>
      </w:r>
      <w:r>
        <w:rPr>
          <w:rFonts w:hint="default" w:ascii="Times New Roman" w:hAnsi="Times New Roman" w:eastAsia="Times New Roman" w:cs="Times New Roman"/>
          <w:sz w:val="24"/>
          <w:szCs w:val="20"/>
          <w14:ligatures w14:val="none"/>
        </w:rPr>
        <w:t>Committee</w:t>
      </w:r>
      <w:r>
        <w:rPr>
          <w:rFonts w:hint="default" w:ascii="Times New Roman" w:hAnsi="Times New Roman" w:eastAsia="宋体" w:cs="Times New Roman"/>
          <w:sz w:val="24"/>
          <w:szCs w:val="20"/>
          <w14:ligatures w14:val="none"/>
        </w:rPr>
        <w:t>)</w:t>
      </w:r>
      <w:r>
        <w:rPr>
          <w:rFonts w:hint="default" w:ascii="Times New Roman" w:hAnsi="Times New Roman" w:eastAsia="Times New Roman" w:cs="Times New Roman"/>
          <w:sz w:val="24"/>
          <w:szCs w:val="20"/>
          <w14:ligatures w14:val="none"/>
        </w:rPr>
        <w:t>.</w:t>
      </w:r>
      <w:r>
        <w:rPr>
          <w:rFonts w:hint="default" w:ascii="Times New Roman" w:hAnsi="Times New Roman" w:eastAsia="宋体" w:cs="Times New Roman"/>
          <w:sz w:val="24"/>
          <w:szCs w:val="20"/>
          <w14:ligatures w14:val="none"/>
        </w:rPr>
        <w:t xml:space="preserve"> </w:t>
      </w:r>
    </w:p>
    <w:p>
      <w:pPr>
        <w:adjustRightInd w:val="0"/>
        <w:snapToGrid w:val="0"/>
        <w:spacing w:after="312" w:afterLines="100" w:line="360" w:lineRule="auto"/>
        <w:rPr>
          <w:rFonts w:hint="default" w:ascii="Times New Roman" w:hAnsi="Times New Roman" w:eastAsia="仿宋_GB2312"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4</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These Rules of Procedure shall apply to the establishment, term renewal, adjustment and working mechanisms of TC</w:t>
      </w:r>
      <w:r>
        <w:rPr>
          <w:rFonts w:hint="default" w:ascii="Times New Roman" w:hAnsi="Times New Roman" w:eastAsia="Times New Roman" w:cs="Times New Roman"/>
          <w:sz w:val="24"/>
          <w:szCs w:val="20"/>
          <w14:ligatures w14:val="none"/>
        </w:rPr>
        <w:t>.</w:t>
      </w:r>
    </w:p>
    <w:p>
      <w:pPr>
        <w:adjustRightInd w:val="0"/>
        <w:snapToGrid w:val="0"/>
        <w:spacing w:after="312" w:afterLines="100" w:line="240" w:lineRule="auto"/>
        <w:outlineLvl w:val="0"/>
        <w:rPr>
          <w:rFonts w:hint="default" w:ascii="Times New Roman" w:hAnsi="Times New Roman" w:eastAsia="Times New Roman" w:cs="Times New Roman"/>
          <w:b/>
          <w:bCs/>
          <w:sz w:val="28"/>
          <w:szCs w:val="21"/>
          <w14:ligatures w14:val="none"/>
        </w:rPr>
      </w:pPr>
      <w:r>
        <w:rPr>
          <w:rFonts w:hint="default" w:ascii="Times New Roman" w:hAnsi="Times New Roman" w:eastAsia="Times New Roman" w:cs="Times New Roman"/>
          <w:b/>
          <w:bCs/>
          <w:sz w:val="28"/>
          <w:szCs w:val="21"/>
          <w14:ligatures w14:val="none"/>
        </w:rPr>
        <w:t>Chapter II Organizational Structure</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5</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TC is composed of Members, who shall be professional experts in the relevant technical fields and shall be broadly representative. All Members shall be entitled to voting rights and shall participate in the decision-making process of the TC.</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6</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number of Members of each TC shall not be fewer than ten, including one Chair and, in principle, no more than three Vice Chairs. Members are not limited to personnel from the GEIDCO members. Members shall originate from no fewer than five countries. No more than three Members shall be from the same entity, with the proportion to the total membership not exceeding 20%. The Chair shall be responsible for leading the overall work of TC and presiding over TC meetings. In principle, the Chair shall not be affiliated with the entity hosting the Secretariat. The Vice Chairs shall assist the Chair in performing relevant duties and shall act as the Chair in the latter’s absence. The Chair and Vice Chairs shall not all be from the same country. TC may appoint Advisors, who may participate in work discussions but shall not be entitled to voting rights.</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7</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Members shall meet the following qualifications:</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 Be well-versed in standardization work in the relevant professional fields, with sound theoretical knowledge, solid professional expertise and rich practical experiences.</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(II) Be enthusiastic about the standardization cause and actively participate in the TC works, such as exercising voting rights as members, putting forward recommendations on standard development and revision, and participating in the technical review of standards.</w:t>
      </w:r>
    </w:p>
    <w:p>
      <w:pPr>
        <w:adjustRightInd w:val="0"/>
        <w:snapToGrid w:val="0"/>
        <w:spacing w:after="312" w:afterLines="100" w:line="360" w:lineRule="auto"/>
        <w:rPr>
          <w:rFonts w:hint="default" w:ascii="Times New Roman" w:hAnsi="Times New Roman" w:eastAsia="仿宋_GB2312"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8</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Chair and Vice Chairs shall further meet the following qualifications:</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 Be technical experts in the relevant professional field with high reputation and influence.</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(II) Uphold an internationally neutral stance and perform their duties in a fair and impartial manner.</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(III) Efficiently coordinate internal resources of TC, and establish sound cooperative relations with external stakeholders.</w:t>
      </w:r>
    </w:p>
    <w:p>
      <w:pPr>
        <w:adjustRightInd w:val="0"/>
        <w:snapToGrid w:val="0"/>
        <w:spacing w:after="312" w:afterLines="100" w:line="360" w:lineRule="auto"/>
        <w:rPr>
          <w:rFonts w:hint="default" w:ascii="Times New Roman" w:hAnsi="Times New Roman" w:eastAsia="仿宋_GB2312"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9</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TC shall establish a Secretariat which shall be responsible for the daily administrative and organizational work of TC. In principle, it shall be hosted by a GEIDCO member, a cooperation partner, or a Regional and National Committee of GEIDCO. The entity hosting the Secretariat shall meet the following requirements:</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 Possess strong technical capabilities, industry influence and standardization work experience.</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(II) Incorporate the work of the Secretariat into its own work plan and daily operations, and provide the necessary funding and office conditions for the Secretariat to carry out its work.</w:t>
      </w:r>
      <w:r>
        <w:rPr>
          <w:rFonts w:hint="default" w:ascii="Times New Roman" w:hAnsi="Times New Roman" w:eastAsia="宋体" w:cs="Times New Roman"/>
          <w:sz w:val="24"/>
          <w:szCs w:val="20"/>
          <w14:ligatures w14:val="none"/>
        </w:rPr>
        <w:br w:type="textWrapping"/>
      </w:r>
      <w:r>
        <w:rPr>
          <w:rFonts w:hint="default" w:ascii="Times New Roman" w:hAnsi="Times New Roman" w:eastAsia="宋体" w:cs="Times New Roman"/>
          <w:sz w:val="24"/>
          <w:szCs w:val="20"/>
          <w14:ligatures w14:val="none"/>
        </w:rPr>
        <w:t>(III) Earnestly perform its responsibilities and ensure that all work of the Secretariat is conducted in a fair and impartial manner.</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10</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Secretariat shall have one Secretary and may have several Assistant Secretaries as needed. Both the Secretary and Assistant Secretaries shall be appointed by the entity hosting the Secretariat and shall not be entitled to voting rights.</w:t>
      </w:r>
    </w:p>
    <w:p>
      <w:pPr>
        <w:adjustRightInd w:val="0"/>
        <w:snapToGrid w:val="0"/>
        <w:spacing w:after="312" w:afterLines="100" w:line="360" w:lineRule="auto"/>
        <w:rPr>
          <w:rFonts w:hint="default" w:ascii="Times New Roman" w:hAnsi="Times New Roman" w:eastAsia="宋体" w:cs="Times New Roman"/>
          <w:sz w:val="24"/>
          <w:szCs w:val="20"/>
          <w14:ligatures w14:val="none"/>
        </w:rPr>
      </w:pPr>
      <w:r>
        <w:rPr>
          <w:rFonts w:hint="default" w:ascii="Times New Roman" w:hAnsi="Times New Roman" w:eastAsia="Times New Roman" w:cs="Times New Roman"/>
          <w:b/>
          <w:bCs/>
          <w:sz w:val="24"/>
          <w:szCs w:val="20"/>
          <w14:ligatures w14:val="none"/>
        </w:rPr>
        <w:t xml:space="preserve">Article </w:t>
      </w:r>
      <w:r>
        <w:rPr>
          <w:rFonts w:hint="default" w:ascii="Times New Roman" w:hAnsi="Times New Roman" w:eastAsia="宋体" w:cs="Times New Roman"/>
          <w:b/>
          <w:bCs/>
          <w:sz w:val="24"/>
          <w:szCs w:val="20"/>
          <w14:ligatures w14:val="none"/>
        </w:rPr>
        <w:t>11</w:t>
      </w:r>
      <w:r>
        <w:rPr>
          <w:rFonts w:hint="default" w:ascii="Times New Roman" w:hAnsi="Times New Roman" w:eastAsia="Times New Roman" w:cs="Times New Roman"/>
          <w:b/>
          <w:bCs/>
          <w:sz w:val="24"/>
          <w:szCs w:val="20"/>
          <w14:ligatures w14:val="none"/>
        </w:rPr>
        <w:t xml:space="preserve"> </w:t>
      </w:r>
      <w:r>
        <w:rPr>
          <w:rFonts w:hint="default" w:ascii="Times New Roman" w:hAnsi="Times New Roman" w:eastAsia="宋体" w:cs="Times New Roman"/>
          <w:sz w:val="24"/>
          <w:szCs w:val="20"/>
          <w14:ligatures w14:val="none"/>
        </w:rPr>
        <w:t>The TC shall establish several WGs which shall serve as the executing bodies for the development and revision of GEI standards in the relevant professional field. A WG shall be established upon application by the leading entity of a standard proposal, subject to review and approval by the competent TC, and shall be reported to the GEI Standards General Office (General Office) for the record.</w:t>
      </w:r>
    </w:p>
    <w:p>
      <w:pPr>
        <w:adjustRightInd w:val="0"/>
        <w:snapToGrid w:val="0"/>
        <w:spacing w:after="312" w:afterLines="100" w:line="240" w:lineRule="auto"/>
        <w:outlineLvl w:val="0"/>
        <w:rPr>
          <w:rFonts w:hint="default" w:ascii="Times New Roman" w:hAnsi="Times New Roman" w:eastAsia="Times New Roman" w:cs="Times New Roman"/>
          <w:b/>
          <w:bCs/>
          <w:sz w:val="28"/>
          <w:szCs w:val="21"/>
          <w14:ligatures w14:val="none"/>
        </w:rPr>
      </w:pPr>
      <w:r>
        <w:rPr>
          <w:rFonts w:hint="default" w:ascii="Times New Roman" w:hAnsi="Times New Roman" w:eastAsia="Times New Roman" w:cs="Times New Roman"/>
          <w:b/>
          <w:bCs/>
          <w:sz w:val="28"/>
          <w:szCs w:val="21"/>
          <w14:ligatures w14:val="none"/>
        </w:rPr>
        <w:t>Chapter III Establishment of TC</w:t>
      </w:r>
    </w:p>
    <w:p>
      <w:pPr>
        <w:adjustRightInd w:val="0"/>
        <w:snapToGrid w:val="0"/>
        <w:spacing w:after="312" w:afterLines="100" w:line="360" w:lineRule="auto"/>
        <w:rPr>
          <w:rFonts w:hint="default" w:ascii="Times New Roman" w:hAnsi="Times New Roman" w:eastAsia="仿宋_GB2312" w:cs="Times New Roman"/>
          <w:sz w:val="24"/>
          <w:szCs w:val="24"/>
          <w14:ligatures w14:val="none"/>
        </w:rPr>
      </w:pPr>
      <w:r>
        <w:rPr>
          <w:rFonts w:hint="default" w:ascii="Times New Roman" w:hAnsi="Times New Roman" w:eastAsia="Times New Roman" w:cs="Times New Roman"/>
          <w:b/>
          <w:bCs/>
          <w:sz w:val="24"/>
          <w:szCs w:val="24"/>
          <w14:ligatures w14:val="none"/>
        </w:rPr>
        <w:t xml:space="preserve">Article </w:t>
      </w:r>
      <w:r>
        <w:rPr>
          <w:rFonts w:hint="default" w:ascii="Times New Roman" w:hAnsi="Times New Roman" w:eastAsia="宋体" w:cs="Times New Roman"/>
          <w:b/>
          <w:bCs/>
          <w:sz w:val="24"/>
          <w:szCs w:val="24"/>
          <w14:ligatures w14:val="none"/>
        </w:rPr>
        <w:t>12</w:t>
      </w:r>
      <w:r>
        <w:rPr>
          <w:rFonts w:hint="default" w:ascii="Times New Roman" w:hAnsi="Times New Roman" w:eastAsia="Times New Roman" w:cs="Times New Roman"/>
          <w:b/>
          <w:bCs/>
          <w:sz w:val="24"/>
          <w:szCs w:val="24"/>
          <w14:ligatures w14:val="none"/>
        </w:rPr>
        <w:t xml:space="preserve"> </w:t>
      </w:r>
      <w:r>
        <w:rPr>
          <w:rFonts w:hint="default" w:ascii="Times New Roman" w:hAnsi="Times New Roman" w:eastAsia="宋体" w:cs="Times New Roman"/>
          <w:sz w:val="24"/>
          <w:szCs w:val="24"/>
          <w14:ligatures w14:val="none"/>
        </w:rPr>
        <w:t>The establishment procedure of TC shall consist of the following stages: application for establishment, approval of preparatory work, completion of preparation, and approval of formal establishment.</w:t>
      </w:r>
    </w:p>
    <w:p>
      <w:pPr>
        <w:adjustRightInd w:val="0"/>
        <w:snapToGrid w:val="0"/>
        <w:spacing w:after="312" w:afterLines="100" w:line="360" w:lineRule="auto"/>
        <w:rPr>
          <w:rFonts w:hint="default" w:ascii="Times New Roman" w:hAnsi="Times New Roman" w:eastAsia="宋体" w:cs="Times New Roman"/>
          <w:sz w:val="24"/>
          <w:szCs w:val="24"/>
          <w14:ligatures w14:val="none"/>
        </w:rPr>
      </w:pPr>
      <w:r>
        <w:rPr>
          <w:rFonts w:hint="default" w:ascii="Times New Roman" w:hAnsi="Times New Roman" w:eastAsia="Times New Roman" w:cs="Times New Roman"/>
          <w:b/>
          <w:bCs/>
          <w:sz w:val="24"/>
          <w:szCs w:val="24"/>
          <w14:ligatures w14:val="none"/>
        </w:rPr>
        <w:t xml:space="preserve">Article </w:t>
      </w:r>
      <w:r>
        <w:rPr>
          <w:rFonts w:hint="default" w:ascii="Times New Roman" w:hAnsi="Times New Roman" w:eastAsia="宋体" w:cs="Times New Roman"/>
          <w:b/>
          <w:bCs/>
          <w:sz w:val="24"/>
          <w:szCs w:val="24"/>
          <w14:ligatures w14:val="none"/>
        </w:rPr>
        <w:t>13</w:t>
      </w:r>
      <w:r>
        <w:rPr>
          <w:rFonts w:hint="default" w:ascii="Times New Roman" w:hAnsi="Times New Roman" w:eastAsia="Times New Roman" w:cs="Times New Roman"/>
          <w:b/>
          <w:bCs/>
          <w:sz w:val="24"/>
          <w:szCs w:val="24"/>
          <w14:ligatures w14:val="none"/>
        </w:rPr>
        <w:t xml:space="preserve"> </w:t>
      </w:r>
      <w:r>
        <w:rPr>
          <w:rFonts w:hint="default" w:ascii="Times New Roman" w:hAnsi="Times New Roman" w:eastAsia="宋体" w:cs="Times New Roman"/>
          <w:b/>
          <w:bCs/>
          <w:sz w:val="24"/>
          <w:szCs w:val="24"/>
          <w14:ligatures w14:val="none"/>
        </w:rPr>
        <w:t>Application for establishment</w:t>
      </w:r>
      <w:r>
        <w:rPr>
          <w:rFonts w:hint="default" w:ascii="Times New Roman" w:hAnsi="Times New Roman" w:eastAsia="宋体" w:cs="Times New Roman"/>
          <w:b/>
          <w:bCs/>
          <w:sz w:val="24"/>
          <w:szCs w:val="24"/>
          <w14:ligatures w14:val="none"/>
        </w:rPr>
        <w:br w:type="textWrapping"/>
      </w:r>
      <w:r>
        <w:rPr>
          <w:rFonts w:hint="default" w:ascii="Times New Roman" w:hAnsi="Times New Roman" w:eastAsia="宋体" w:cs="Times New Roman"/>
          <w:sz w:val="24"/>
          <w:szCs w:val="24"/>
          <w14:ligatures w14:val="none"/>
        </w:rPr>
        <w:t xml:space="preserve">The applicant entity shall submit the </w:t>
      </w:r>
      <w:r>
        <w:rPr>
          <w:rFonts w:hint="default" w:ascii="Times New Roman" w:hAnsi="Times New Roman" w:eastAsia="宋体" w:cs="Times New Roman"/>
          <w:i/>
          <w:iCs/>
          <w:sz w:val="24"/>
          <w:szCs w:val="24"/>
          <w14:ligatures w14:val="none"/>
        </w:rPr>
        <w:t>TC Application Form</w:t>
      </w:r>
      <w:r>
        <w:rPr>
          <w:rFonts w:hint="default" w:ascii="Times New Roman" w:hAnsi="Times New Roman" w:eastAsia="宋体" w:cs="Times New Roman"/>
          <w:sz w:val="24"/>
          <w:szCs w:val="24"/>
          <w14:ligatures w14:val="none"/>
        </w:rPr>
        <w:t xml:space="preserve"> (Annex 1) to the General Office, stating the information of the proposed title of TC, information of the secretariat-hosting entity, professional scopes for standard development, and justification for establishment. Supplementary materials such as a preliminary work plan may be attached separately.</w:t>
      </w:r>
    </w:p>
    <w:p>
      <w:pPr>
        <w:adjustRightInd w:val="0"/>
        <w:snapToGrid w:val="0"/>
        <w:spacing w:after="312" w:afterLines="100" w:line="360" w:lineRule="auto"/>
        <w:rPr>
          <w:rFonts w:hint="default" w:ascii="Times New Roman" w:hAnsi="Times New Roman" w:eastAsia="宋体" w:cs="Times New Roman"/>
          <w:sz w:val="24"/>
          <w:szCs w:val="24"/>
          <w14:ligatures w14:val="none"/>
        </w:rPr>
      </w:pPr>
      <w:r>
        <w:rPr>
          <w:rFonts w:hint="default" w:ascii="Times New Roman" w:hAnsi="Times New Roman" w:eastAsia="Times New Roman" w:cs="Times New Roman"/>
          <w:b/>
          <w:bCs/>
          <w:sz w:val="24"/>
          <w:szCs w:val="24"/>
          <w14:ligatures w14:val="none"/>
        </w:rPr>
        <w:t xml:space="preserve">Article 14 Approval of </w:t>
      </w:r>
      <w:r>
        <w:rPr>
          <w:rFonts w:hint="default" w:ascii="Times New Roman" w:hAnsi="Times New Roman" w:eastAsia="宋体" w:cs="Times New Roman"/>
          <w:b/>
          <w:bCs/>
          <w:sz w:val="24"/>
          <w:szCs w:val="24"/>
          <w14:ligatures w14:val="none"/>
        </w:rPr>
        <w:t>p</w:t>
      </w:r>
      <w:r>
        <w:rPr>
          <w:rFonts w:hint="default" w:ascii="Times New Roman" w:hAnsi="Times New Roman" w:eastAsia="Times New Roman" w:cs="Times New Roman"/>
          <w:b/>
          <w:bCs/>
          <w:sz w:val="24"/>
          <w:szCs w:val="24"/>
          <w14:ligatures w14:val="none"/>
        </w:rPr>
        <w:t xml:space="preserve">reparatory </w:t>
      </w:r>
      <w:r>
        <w:rPr>
          <w:rFonts w:hint="default" w:ascii="Times New Roman" w:hAnsi="Times New Roman" w:eastAsia="宋体" w:cs="Times New Roman"/>
          <w:b/>
          <w:bCs/>
          <w:sz w:val="24"/>
          <w:szCs w:val="24"/>
          <w14:ligatures w14:val="none"/>
        </w:rPr>
        <w:t>w</w:t>
      </w:r>
      <w:r>
        <w:rPr>
          <w:rFonts w:hint="default" w:ascii="Times New Roman" w:hAnsi="Times New Roman" w:eastAsia="Times New Roman" w:cs="Times New Roman"/>
          <w:b/>
          <w:bCs/>
          <w:sz w:val="24"/>
          <w:szCs w:val="24"/>
          <w14:ligatures w14:val="none"/>
        </w:rPr>
        <w:t>ork</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宋体" w:cs="Times New Roman"/>
          <w:sz w:val="24"/>
          <w:szCs w:val="24"/>
          <w14:ligatures w14:val="none"/>
        </w:rPr>
        <w:t>The General Office shall conduct a review of the applications materials, and submit those that meet the establishment criteria to the Standards Management Committee for approval to initiate the preparatory work.</w:t>
      </w:r>
    </w:p>
    <w:p>
      <w:pPr>
        <w:adjustRightInd w:val="0"/>
        <w:snapToGrid w:val="0"/>
        <w:spacing w:after="312" w:afterLines="100" w:line="360" w:lineRule="auto"/>
        <w:rPr>
          <w:rFonts w:hint="default" w:ascii="Times New Roman" w:hAnsi="Times New Roman" w:eastAsia="仿宋_GB2312" w:cs="Times New Roman"/>
          <w:b/>
          <w:sz w:val="32"/>
          <w14:ligatures w14:val="none"/>
        </w:rPr>
      </w:pPr>
      <w:r>
        <w:rPr>
          <w:rFonts w:hint="default" w:ascii="Times New Roman" w:hAnsi="Times New Roman" w:eastAsia="Times New Roman" w:cs="Times New Roman"/>
          <w:b/>
          <w:bCs/>
          <w:sz w:val="24"/>
          <w:szCs w:val="24"/>
          <w14:ligatures w14:val="none"/>
        </w:rPr>
        <w:t>Article 15 Completion of Preparation</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宋体" w:cs="Times New Roman"/>
          <w:sz w:val="24"/>
          <w:szCs w:val="24"/>
          <w14:ligatures w14:val="none"/>
        </w:rPr>
        <w:t>In principle, the Secretariat shall complete TC establishment work within six months of approval to initiate preparation. If an extension is truly necessary due to special circumstances, an application shall be submitted to the General Office in advance. The preparatory process shall include the following steps:</w:t>
      </w:r>
      <w:r>
        <w:rPr>
          <w:rFonts w:hint="default" w:ascii="Times New Roman" w:hAnsi="Times New Roman" w:eastAsia="宋体" w:cs="Times New Roman"/>
          <w:sz w:val="24"/>
          <w:szCs w:val="24"/>
          <w14:ligatures w14:val="none"/>
        </w:rPr>
        <w:br w:type="textWrapping"/>
      </w:r>
      <w:r>
        <w:rPr>
          <w:rFonts w:hint="default" w:ascii="Times New Roman" w:hAnsi="Times New Roman" w:eastAsia="宋体" w:cs="Times New Roman"/>
          <w:sz w:val="24"/>
          <w:szCs w:val="24"/>
          <w14:ligatures w14:val="none"/>
        </w:rPr>
        <w:t xml:space="preserve">(I) Publicly call for Members in accordance with relevant requirements, collect the </w:t>
      </w:r>
      <w:r>
        <w:rPr>
          <w:rFonts w:hint="default" w:ascii="Times New Roman" w:hAnsi="Times New Roman" w:eastAsia="宋体" w:cs="Times New Roman"/>
          <w:i/>
          <w:iCs/>
          <w:sz w:val="24"/>
          <w:szCs w:val="24"/>
          <w14:ligatures w14:val="none"/>
        </w:rPr>
        <w:t xml:space="preserve">Registration Form for Members </w:t>
      </w:r>
      <w:r>
        <w:rPr>
          <w:rFonts w:hint="default" w:ascii="Times New Roman" w:hAnsi="Times New Roman" w:eastAsia="宋体" w:cs="Times New Roman"/>
          <w:sz w:val="24"/>
          <w:szCs w:val="24"/>
          <w14:ligatures w14:val="none"/>
        </w:rPr>
        <w:t xml:space="preserve">(Annex 2) and file the </w:t>
      </w:r>
      <w:r>
        <w:rPr>
          <w:rFonts w:hint="default" w:ascii="Times New Roman" w:hAnsi="Times New Roman" w:eastAsia="宋体" w:cs="Times New Roman"/>
          <w:i/>
          <w:iCs/>
          <w:sz w:val="24"/>
          <w:szCs w:val="24"/>
          <w14:ligatures w14:val="none"/>
        </w:rPr>
        <w:t>Member List</w:t>
      </w:r>
      <w:r>
        <w:rPr>
          <w:rFonts w:hint="default" w:ascii="Times New Roman" w:hAnsi="Times New Roman" w:eastAsia="宋体" w:cs="Times New Roman"/>
          <w:sz w:val="24"/>
          <w:szCs w:val="24"/>
          <w14:ligatures w14:val="none"/>
        </w:rPr>
        <w:t xml:space="preserve"> (Annex 3).</w:t>
      </w:r>
      <w:r>
        <w:rPr>
          <w:rFonts w:hint="default" w:ascii="Times New Roman" w:hAnsi="Times New Roman" w:eastAsia="宋体" w:cs="Times New Roman"/>
          <w:sz w:val="24"/>
          <w:szCs w:val="24"/>
          <w14:ligatures w14:val="none"/>
        </w:rPr>
        <w:br w:type="textWrapping"/>
      </w:r>
      <w:r>
        <w:rPr>
          <w:rFonts w:hint="default" w:ascii="Times New Roman" w:hAnsi="Times New Roman" w:eastAsia="宋体" w:cs="Times New Roman"/>
          <w:sz w:val="24"/>
          <w:szCs w:val="24"/>
          <w14:ligatures w14:val="none"/>
        </w:rPr>
        <w:t xml:space="preserve">(II) Recommend candidates for Chair and Vice Chairs, distribute </w:t>
      </w:r>
      <w:r>
        <w:rPr>
          <w:rFonts w:hint="default" w:ascii="Times New Roman" w:hAnsi="Times New Roman" w:eastAsia="宋体" w:cs="Times New Roman"/>
          <w:i/>
          <w:iCs/>
          <w:sz w:val="24"/>
          <w:szCs w:val="24"/>
          <w14:ligatures w14:val="none"/>
        </w:rPr>
        <w:t>Ballot Document</w:t>
      </w:r>
      <w:r>
        <w:rPr>
          <w:rFonts w:hint="default" w:ascii="Times New Roman" w:hAnsi="Times New Roman" w:eastAsia="宋体" w:cs="Times New Roman"/>
          <w:sz w:val="24"/>
          <w:szCs w:val="24"/>
          <w14:ligatures w14:val="none"/>
        </w:rPr>
        <w:t xml:space="preserve"> (Annex 4) to all Members, organize the election and file the </w:t>
      </w:r>
      <w:r>
        <w:rPr>
          <w:rFonts w:hint="default" w:ascii="Times New Roman" w:hAnsi="Times New Roman" w:eastAsia="宋体" w:cs="Times New Roman"/>
          <w:i/>
          <w:iCs/>
          <w:sz w:val="24"/>
          <w:szCs w:val="24"/>
          <w14:ligatures w14:val="none"/>
        </w:rPr>
        <w:t>Election Result</w:t>
      </w:r>
      <w:r>
        <w:rPr>
          <w:rFonts w:hint="default" w:ascii="Times New Roman" w:hAnsi="Times New Roman" w:eastAsia="宋体" w:cs="Times New Roman"/>
          <w:sz w:val="24"/>
          <w:szCs w:val="24"/>
          <w14:ligatures w14:val="none"/>
        </w:rPr>
        <w:t xml:space="preserve"> (Annex 5).</w:t>
      </w:r>
      <w:r>
        <w:rPr>
          <w:rFonts w:hint="default" w:ascii="Times New Roman" w:hAnsi="Times New Roman" w:eastAsia="宋体" w:cs="Times New Roman"/>
          <w:sz w:val="24"/>
          <w:szCs w:val="24"/>
          <w14:ligatures w14:val="none"/>
        </w:rPr>
        <w:br w:type="textWrapping"/>
      </w:r>
      <w:r>
        <w:rPr>
          <w:rFonts w:hint="default" w:ascii="Times New Roman" w:hAnsi="Times New Roman" w:eastAsia="宋体" w:cs="Times New Roman"/>
          <w:sz w:val="24"/>
          <w:szCs w:val="24"/>
          <w14:ligatures w14:val="none"/>
        </w:rPr>
        <w:t xml:space="preserve">(III) Submit the </w:t>
      </w:r>
      <w:r>
        <w:rPr>
          <w:rFonts w:hint="default" w:ascii="Times New Roman" w:hAnsi="Times New Roman" w:eastAsia="宋体" w:cs="Times New Roman"/>
          <w:i/>
          <w:iCs/>
          <w:sz w:val="24"/>
          <w:szCs w:val="24"/>
          <w14:ligatures w14:val="none"/>
        </w:rPr>
        <w:t>Establishment Report</w:t>
      </w:r>
      <w:r>
        <w:rPr>
          <w:rFonts w:hint="default" w:ascii="Times New Roman" w:hAnsi="Times New Roman" w:eastAsia="宋体" w:cs="Times New Roman"/>
          <w:sz w:val="24"/>
          <w:szCs w:val="24"/>
          <w14:ligatures w14:val="none"/>
        </w:rPr>
        <w:t xml:space="preserve"> (Annex 6) to the General Office.</w:t>
      </w:r>
    </w:p>
    <w:p>
      <w:pPr>
        <w:adjustRightInd w:val="0"/>
        <w:snapToGrid w:val="0"/>
        <w:spacing w:after="312" w:afterLines="100" w:line="360" w:lineRule="auto"/>
        <w:rPr>
          <w:rFonts w:hint="default" w:ascii="Times New Roman" w:hAnsi="Times New Roman" w:eastAsia="宋体" w:cs="Times New Roman"/>
          <w:sz w:val="24"/>
          <w:szCs w:val="24"/>
          <w14:ligatures w14:val="none"/>
        </w:rPr>
      </w:pPr>
      <w:r>
        <w:rPr>
          <w:rFonts w:hint="default" w:ascii="Times New Roman" w:hAnsi="Times New Roman" w:eastAsia="Times New Roman" w:cs="Times New Roman"/>
          <w:b/>
          <w:bCs/>
          <w:sz w:val="24"/>
          <w:szCs w:val="24"/>
          <w14:ligatures w14:val="none"/>
        </w:rPr>
        <w:t>Article 16 Approval of Formal Establishment</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宋体" w:cs="Times New Roman"/>
          <w:sz w:val="24"/>
          <w:szCs w:val="24"/>
          <w14:ligatures w14:val="none"/>
        </w:rPr>
        <w:t>The General Office shall publicize the results of the preparatory work. The TC shall be formally established upon approval by the Standards Management Committee.</w:t>
      </w:r>
    </w:p>
    <w:p>
      <w:pPr>
        <w:adjustRightInd w:val="0"/>
        <w:snapToGrid w:val="0"/>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 xml:space="preserve">Article 17 </w:t>
      </w:r>
      <w:r>
        <w:rPr>
          <w:rFonts w:hint="default" w:ascii="Times New Roman" w:hAnsi="Times New Roman" w:eastAsia="Times New Roman" w:cs="Times New Roman"/>
          <w:sz w:val="24"/>
          <w:szCs w:val="24"/>
          <w14:ligatures w14:val="none"/>
        </w:rPr>
        <w:t xml:space="preserve">The numbering format for TC shall be </w:t>
      </w:r>
      <w:r>
        <w:rPr>
          <w:rFonts w:hint="default" w:ascii="Times New Roman" w:hAnsi="Times New Roman" w:eastAsia="Times New Roman" w:cs="Times New Roman"/>
          <w:i/>
          <w:iCs/>
          <w:sz w:val="24"/>
          <w:szCs w:val="24"/>
          <w14:ligatures w14:val="none"/>
        </w:rPr>
        <w:t>GEI TC XX-YY</w:t>
      </w:r>
      <w:r>
        <w:rPr>
          <w:rFonts w:hint="default" w:ascii="Times New Roman" w:hAnsi="Times New Roman" w:eastAsia="Times New Roman" w:cs="Times New Roman"/>
          <w:sz w:val="24"/>
          <w:szCs w:val="24"/>
          <w14:ligatures w14:val="none"/>
        </w:rPr>
        <w:t xml:space="preserve">, where </w:t>
      </w:r>
      <w:r>
        <w:rPr>
          <w:rFonts w:hint="default" w:ascii="Times New Roman" w:hAnsi="Times New Roman" w:eastAsia="Times New Roman" w:cs="Times New Roman"/>
          <w:i/>
          <w:iCs/>
          <w:sz w:val="24"/>
          <w:szCs w:val="24"/>
          <w14:ligatures w14:val="none"/>
        </w:rPr>
        <w:t>GEI TC</w:t>
      </w:r>
      <w:r>
        <w:rPr>
          <w:rFonts w:hint="default" w:ascii="Times New Roman" w:hAnsi="Times New Roman" w:eastAsia="Times New Roman" w:cs="Times New Roman"/>
          <w:sz w:val="24"/>
          <w:szCs w:val="24"/>
          <w14:ligatures w14:val="none"/>
        </w:rPr>
        <w:t xml:space="preserve"> representing GEI Standards Technical Committee, </w:t>
      </w:r>
      <w:r>
        <w:rPr>
          <w:rFonts w:hint="default" w:ascii="Times New Roman" w:hAnsi="Times New Roman" w:eastAsia="Times New Roman" w:cs="Times New Roman"/>
          <w:i/>
          <w:iCs/>
          <w:sz w:val="24"/>
          <w:szCs w:val="24"/>
          <w14:ligatures w14:val="none"/>
        </w:rPr>
        <w:t>XX</w:t>
      </w:r>
      <w:r>
        <w:rPr>
          <w:rFonts w:hint="default" w:ascii="Times New Roman" w:hAnsi="Times New Roman" w:eastAsia="Times New Roman" w:cs="Times New Roman"/>
          <w:sz w:val="24"/>
          <w:szCs w:val="24"/>
          <w14:ligatures w14:val="none"/>
        </w:rPr>
        <w:t xml:space="preserve"> representing the code for technical fields, and </w:t>
      </w:r>
      <w:r>
        <w:rPr>
          <w:rFonts w:hint="default" w:ascii="Times New Roman" w:hAnsi="Times New Roman" w:eastAsia="Times New Roman" w:cs="Times New Roman"/>
          <w:i/>
          <w:iCs/>
          <w:sz w:val="24"/>
          <w:szCs w:val="24"/>
          <w14:ligatures w14:val="none"/>
        </w:rPr>
        <w:t>YY</w:t>
      </w:r>
      <w:r>
        <w:rPr>
          <w:rFonts w:hint="default" w:ascii="Times New Roman" w:hAnsi="Times New Roman" w:eastAsia="Times New Roman" w:cs="Times New Roman"/>
          <w:sz w:val="24"/>
          <w:szCs w:val="24"/>
          <w14:ligatures w14:val="none"/>
        </w:rPr>
        <w:t xml:space="preserve"> representing the serial number of establishment. The </w:t>
      </w:r>
      <w:r>
        <w:rPr>
          <w:rFonts w:hint="default" w:ascii="Times New Roman" w:hAnsi="Times New Roman" w:eastAsia="宋体" w:cs="Times New Roman"/>
          <w:sz w:val="24"/>
          <w:szCs w:val="24"/>
          <w14:ligatures w14:val="none"/>
        </w:rPr>
        <w:t xml:space="preserve">TC </w:t>
      </w:r>
      <w:r>
        <w:rPr>
          <w:rFonts w:hint="default" w:ascii="Times New Roman" w:hAnsi="Times New Roman" w:eastAsia="Times New Roman" w:cs="Times New Roman"/>
          <w:sz w:val="24"/>
          <w:szCs w:val="24"/>
          <w14:ligatures w14:val="none"/>
        </w:rPr>
        <w:t>number</w:t>
      </w:r>
      <w:r>
        <w:rPr>
          <w:rFonts w:hint="default" w:ascii="Times New Roman" w:hAnsi="Times New Roman" w:eastAsia="宋体" w:cs="Times New Roman"/>
          <w:sz w:val="24"/>
          <w:szCs w:val="24"/>
          <w14:ligatures w14:val="none"/>
        </w:rPr>
        <w:t>s</w:t>
      </w:r>
      <w:r>
        <w:rPr>
          <w:rFonts w:hint="default" w:ascii="Times New Roman" w:hAnsi="Times New Roman" w:eastAsia="Times New Roman" w:cs="Times New Roman"/>
          <w:sz w:val="24"/>
          <w:szCs w:val="24"/>
          <w14:ligatures w14:val="none"/>
        </w:rPr>
        <w:t xml:space="preserve"> shall be </w:t>
      </w:r>
      <w:r>
        <w:rPr>
          <w:rFonts w:hint="default" w:ascii="Times New Roman" w:hAnsi="Times New Roman" w:eastAsia="宋体" w:cs="Times New Roman"/>
          <w:sz w:val="24"/>
          <w:szCs w:val="24"/>
          <w14:ligatures w14:val="none"/>
        </w:rPr>
        <w:t>assigned</w:t>
      </w:r>
      <w:r>
        <w:rPr>
          <w:rFonts w:hint="default" w:ascii="Times New Roman" w:hAnsi="Times New Roman" w:eastAsia="Times New Roman" w:cs="Times New Roman"/>
          <w:sz w:val="24"/>
          <w:szCs w:val="24"/>
          <w14:ligatures w14:val="none"/>
        </w:rPr>
        <w:t xml:space="preserve"> by the General Office.</w:t>
      </w:r>
    </w:p>
    <w:p>
      <w:pPr>
        <w:adjustRightInd w:val="0"/>
        <w:snapToGrid w:val="0"/>
        <w:spacing w:after="312" w:afterLines="100" w:line="240" w:lineRule="auto"/>
        <w:outlineLvl w:val="0"/>
        <w:rPr>
          <w:rFonts w:hint="default" w:ascii="Times New Roman" w:hAnsi="Times New Roman" w:eastAsia="宋体" w:cs="Times New Roman"/>
          <w:b/>
          <w:bCs/>
          <w:sz w:val="28"/>
          <w:szCs w:val="21"/>
          <w14:ligatures w14:val="none"/>
        </w:rPr>
      </w:pPr>
      <w:r>
        <w:rPr>
          <w:rFonts w:hint="default" w:ascii="Times New Roman" w:hAnsi="Times New Roman" w:eastAsia="Times New Roman" w:cs="Times New Roman"/>
          <w:b/>
          <w:bCs/>
          <w:sz w:val="28"/>
          <w:szCs w:val="21"/>
          <w14:ligatures w14:val="none"/>
        </w:rPr>
        <w:t>Chapter IV Renewal, Adjustment and Dissolution</w:t>
      </w:r>
      <w:r>
        <w:rPr>
          <w:rFonts w:hint="default" w:ascii="Times New Roman" w:hAnsi="Times New Roman" w:eastAsia="宋体" w:cs="Times New Roman"/>
          <w:b/>
          <w:bCs/>
          <w:sz w:val="28"/>
          <w:szCs w:val="21"/>
          <w14:ligatures w14:val="none"/>
        </w:rPr>
        <w:t xml:space="preserve"> of TC</w:t>
      </w:r>
    </w:p>
    <w:p>
      <w:pPr>
        <w:adjustRightInd w:val="0"/>
        <w:snapToGrid w:val="0"/>
        <w:spacing w:after="312" w:afterLines="100" w:line="360" w:lineRule="auto"/>
        <w:rPr>
          <w:rFonts w:hint="default" w:ascii="Times New Roman" w:hAnsi="Times New Roman" w:eastAsia="宋体" w:cs="Times New Roman"/>
          <w:sz w:val="24"/>
          <w:szCs w:val="24"/>
          <w14:ligatures w14:val="none"/>
        </w:rPr>
      </w:pPr>
      <w:r>
        <w:rPr>
          <w:rFonts w:hint="default" w:ascii="Times New Roman" w:hAnsi="Times New Roman" w:eastAsia="Times New Roman" w:cs="Times New Roman"/>
          <w:b/>
          <w:bCs/>
          <w:sz w:val="24"/>
          <w:szCs w:val="24"/>
          <w14:ligatures w14:val="none"/>
        </w:rPr>
        <w:t>Article 18 Renewal</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Each term of office of a TC shall be five years, , with a renewal required upon expiration.</w:t>
      </w:r>
      <w:r>
        <w:rPr>
          <w:rFonts w:hint="default" w:ascii="Times New Roman" w:hAnsi="Times New Roman" w:eastAsia="宋体" w:cs="Times New Roman"/>
          <w:sz w:val="24"/>
          <w:szCs w:val="24"/>
          <w14:ligatures w14:val="none"/>
        </w:rPr>
        <w:t xml:space="preserve"> </w:t>
      </w:r>
      <w:r>
        <w:rPr>
          <w:rFonts w:hint="default" w:ascii="Times New Roman" w:hAnsi="Times New Roman" w:eastAsia="Times New Roman" w:cs="Times New Roman"/>
          <w:sz w:val="24"/>
          <w:szCs w:val="24"/>
          <w14:ligatures w14:val="none"/>
        </w:rPr>
        <w:t xml:space="preserve">Three months prior to the </w:t>
      </w:r>
      <w:r>
        <w:rPr>
          <w:rFonts w:hint="default" w:ascii="Times New Roman" w:hAnsi="Times New Roman" w:eastAsia="宋体" w:cs="Times New Roman"/>
          <w:sz w:val="24"/>
          <w:szCs w:val="24"/>
          <w14:ligatures w14:val="none"/>
        </w:rPr>
        <w:t>term end</w:t>
      </w:r>
      <w:r>
        <w:rPr>
          <w:rFonts w:hint="default" w:ascii="Times New Roman" w:hAnsi="Times New Roman" w:eastAsia="Times New Roman" w:cs="Times New Roman"/>
          <w:sz w:val="24"/>
          <w:szCs w:val="24"/>
          <w14:ligatures w14:val="none"/>
        </w:rPr>
        <w:t xml:space="preserve"> </w:t>
      </w:r>
      <w:r>
        <w:rPr>
          <w:rFonts w:hint="default" w:ascii="Times New Roman" w:hAnsi="Times New Roman" w:eastAsia="宋体" w:cs="Times New Roman"/>
          <w:sz w:val="24"/>
          <w:szCs w:val="24"/>
          <w14:ligatures w14:val="none"/>
        </w:rPr>
        <w:t>date</w:t>
      </w:r>
      <w:r>
        <w:rPr>
          <w:rFonts w:hint="default" w:ascii="Times New Roman" w:hAnsi="Times New Roman" w:eastAsia="Times New Roman" w:cs="Times New Roman"/>
          <w:sz w:val="24"/>
          <w:szCs w:val="24"/>
          <w14:ligatures w14:val="none"/>
        </w:rPr>
        <w:t>, the Secretariat shall submit a renewal application to the General Office</w:t>
      </w:r>
      <w:r>
        <w:rPr>
          <w:rFonts w:hint="default" w:ascii="Times New Roman" w:hAnsi="Times New Roman" w:eastAsia="宋体" w:cs="Times New Roman"/>
          <w:sz w:val="24"/>
          <w:szCs w:val="24"/>
          <w14:ligatures w14:val="none"/>
        </w:rPr>
        <w:t xml:space="preserve"> for the record</w:t>
      </w:r>
      <w:r>
        <w:rPr>
          <w:rFonts w:hint="default" w:ascii="Times New Roman" w:hAnsi="Times New Roman" w:eastAsia="Times New Roman" w:cs="Times New Roman"/>
          <w:sz w:val="24"/>
          <w:szCs w:val="24"/>
          <w14:ligatures w14:val="none"/>
        </w:rPr>
        <w:t xml:space="preserve">, together with documents </w:t>
      </w:r>
      <w:r>
        <w:rPr>
          <w:rFonts w:hint="default" w:ascii="Times New Roman" w:hAnsi="Times New Roman" w:eastAsia="宋体" w:cs="Times New Roman"/>
          <w:sz w:val="24"/>
          <w:szCs w:val="24"/>
          <w14:ligatures w14:val="none"/>
        </w:rPr>
        <w:t xml:space="preserve">such </w:t>
      </w:r>
      <w:r>
        <w:rPr>
          <w:rFonts w:hint="default" w:ascii="Times New Roman" w:hAnsi="Times New Roman" w:eastAsia="Times New Roman" w:cs="Times New Roman"/>
          <w:sz w:val="24"/>
          <w:szCs w:val="24"/>
          <w14:ligatures w14:val="none"/>
        </w:rPr>
        <w:t>as a renewal</w:t>
      </w:r>
      <w:r>
        <w:rPr>
          <w:rFonts w:hint="default" w:ascii="Times New Roman" w:hAnsi="Times New Roman" w:eastAsia="宋体" w:cs="Times New Roman"/>
          <w:sz w:val="24"/>
          <w:szCs w:val="24"/>
          <w14:ligatures w14:val="none"/>
        </w:rPr>
        <w:t xml:space="preserve"> </w:t>
      </w:r>
      <w:r>
        <w:rPr>
          <w:rFonts w:hint="default" w:ascii="Times New Roman" w:hAnsi="Times New Roman" w:eastAsia="Times New Roman" w:cs="Times New Roman"/>
          <w:sz w:val="24"/>
          <w:szCs w:val="24"/>
          <w14:ligatures w14:val="none"/>
        </w:rPr>
        <w:t xml:space="preserve">statement and </w:t>
      </w:r>
      <w:r>
        <w:rPr>
          <w:rFonts w:hint="default" w:ascii="Times New Roman" w:hAnsi="Times New Roman" w:eastAsia="宋体" w:cs="Times New Roman"/>
          <w:sz w:val="24"/>
          <w:szCs w:val="24"/>
          <w14:ligatures w14:val="none"/>
        </w:rPr>
        <w:t>m</w:t>
      </w:r>
      <w:r>
        <w:rPr>
          <w:rFonts w:hint="default" w:ascii="Times New Roman" w:hAnsi="Times New Roman" w:eastAsia="Times New Roman" w:cs="Times New Roman"/>
          <w:sz w:val="24"/>
          <w:szCs w:val="24"/>
          <w14:ligatures w14:val="none"/>
        </w:rPr>
        <w:t>ember list</w:t>
      </w:r>
      <w:r>
        <w:rPr>
          <w:rFonts w:hint="default" w:ascii="Times New Roman" w:hAnsi="Times New Roman" w:eastAsia="宋体" w:cs="Times New Roman"/>
          <w:sz w:val="24"/>
          <w:szCs w:val="24"/>
          <w14:ligatures w14:val="none"/>
        </w:rPr>
        <w:t xml:space="preserve"> (including</w:t>
      </w:r>
      <w:r>
        <w:rPr>
          <w:rFonts w:hint="default" w:ascii="Times New Roman" w:hAnsi="Times New Roman" w:eastAsia="Times New Roman" w:cs="Times New Roman"/>
          <w:sz w:val="24"/>
          <w:szCs w:val="24"/>
          <w14:ligatures w14:val="none"/>
        </w:rPr>
        <w:t xml:space="preserve"> the recommended candidates for the Chair and Vice Chairs</w:t>
      </w:r>
      <w:r>
        <w:rPr>
          <w:rFonts w:hint="default" w:ascii="Times New Roman" w:hAnsi="Times New Roman" w:eastAsia="宋体" w:cs="Times New Roman"/>
          <w:sz w:val="24"/>
          <w:szCs w:val="24"/>
          <w14:ligatures w14:val="none"/>
        </w:rPr>
        <w:t>)</w:t>
      </w:r>
      <w:r>
        <w:rPr>
          <w:rFonts w:hint="default" w:ascii="Times New Roman" w:hAnsi="Times New Roman" w:eastAsia="Times New Roman" w:cs="Times New Roman"/>
          <w:sz w:val="24"/>
          <w:szCs w:val="24"/>
          <w14:ligatures w14:val="none"/>
        </w:rPr>
        <w:t xml:space="preserve">. </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The Secretariat shall then</w:t>
      </w:r>
      <w:r>
        <w:rPr>
          <w:rFonts w:hint="default" w:ascii="Times New Roman" w:hAnsi="Times New Roman" w:eastAsia="宋体" w:cs="Times New Roman"/>
          <w:sz w:val="24"/>
          <w:szCs w:val="24"/>
          <w14:ligatures w14:val="none"/>
        </w:rPr>
        <w:t xml:space="preserve"> </w:t>
      </w:r>
      <w:r>
        <w:rPr>
          <w:rFonts w:hint="default" w:ascii="Times New Roman" w:hAnsi="Times New Roman" w:eastAsia="Times New Roman" w:cs="Times New Roman"/>
          <w:sz w:val="24"/>
          <w:szCs w:val="24"/>
          <w14:ligatures w14:val="none"/>
        </w:rPr>
        <w:t xml:space="preserve">organize a vote to elect the Chair and Vice Chairs and submit the renewal results to the General Office. </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The General Office shall publicize the renewal results, and the renewal process shall be completed upon approval by the Standards Management Committee.</w:t>
      </w:r>
    </w:p>
    <w:p>
      <w:pPr>
        <w:adjustRightInd w:val="0"/>
        <w:snapToGrid w:val="0"/>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Article 19 Adjustment</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Where a TC needs to adjust</w:t>
      </w:r>
      <w:r>
        <w:rPr>
          <w:rFonts w:hint="default" w:ascii="Times New Roman" w:hAnsi="Times New Roman" w:eastAsia="宋体" w:cs="Times New Roman"/>
          <w:sz w:val="24"/>
          <w:szCs w:val="24"/>
          <w14:ligatures w14:val="none"/>
        </w:rPr>
        <w:t xml:space="preserve"> its membership</w:t>
      </w:r>
      <w:r>
        <w:rPr>
          <w:rFonts w:hint="default" w:ascii="Times New Roman" w:hAnsi="Times New Roman" w:eastAsia="Times New Roman" w:cs="Times New Roman"/>
          <w:sz w:val="24"/>
          <w:szCs w:val="24"/>
          <w14:ligatures w14:val="none"/>
        </w:rPr>
        <w:t xml:space="preserve"> (</w:t>
      </w:r>
      <w:r>
        <w:rPr>
          <w:rFonts w:hint="default" w:ascii="Times New Roman" w:hAnsi="Times New Roman" w:eastAsia="宋体" w:cs="Times New Roman"/>
          <w:sz w:val="24"/>
          <w:szCs w:val="24"/>
          <w14:ligatures w14:val="none"/>
        </w:rPr>
        <w:t xml:space="preserve">such as </w:t>
      </w:r>
      <w:r>
        <w:rPr>
          <w:rFonts w:hint="default" w:ascii="Times New Roman" w:hAnsi="Times New Roman" w:eastAsia="Times New Roman" w:cs="Times New Roman"/>
          <w:sz w:val="24"/>
          <w:szCs w:val="24"/>
          <w14:ligatures w14:val="none"/>
        </w:rPr>
        <w:t xml:space="preserve">dismissal </w:t>
      </w:r>
      <w:r>
        <w:rPr>
          <w:rFonts w:hint="default" w:ascii="Times New Roman" w:hAnsi="Times New Roman" w:eastAsia="宋体" w:cs="Times New Roman"/>
          <w:sz w:val="24"/>
          <w:szCs w:val="24"/>
          <w14:ligatures w14:val="none"/>
        </w:rPr>
        <w:t>or</w:t>
      </w:r>
      <w:r>
        <w:rPr>
          <w:rFonts w:hint="default" w:ascii="Times New Roman" w:hAnsi="Times New Roman" w:eastAsia="Times New Roman" w:cs="Times New Roman"/>
          <w:sz w:val="24"/>
          <w:szCs w:val="24"/>
          <w14:ligatures w14:val="none"/>
        </w:rPr>
        <w:t xml:space="preserve"> addition</w:t>
      </w:r>
      <w:r>
        <w:rPr>
          <w:rFonts w:hint="default" w:ascii="Times New Roman" w:hAnsi="Times New Roman" w:eastAsia="宋体" w:cs="Times New Roman"/>
          <w:sz w:val="24"/>
          <w:szCs w:val="24"/>
          <w14:ligatures w14:val="none"/>
        </w:rPr>
        <w:t xml:space="preserve"> of Members</w:t>
      </w:r>
      <w:r>
        <w:rPr>
          <w:rFonts w:hint="default" w:ascii="Times New Roman" w:hAnsi="Times New Roman" w:eastAsia="Times New Roman" w:cs="Times New Roman"/>
          <w:sz w:val="24"/>
          <w:szCs w:val="24"/>
          <w14:ligatures w14:val="none"/>
        </w:rPr>
        <w:t xml:space="preserve">) during the term of office, the TC shall conduct internal deliberations and file the resultant decision with the General Office for the record. </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宋体" w:cs="Times New Roman"/>
          <w:sz w:val="24"/>
          <w:szCs w:val="24"/>
          <w14:ligatures w14:val="none"/>
        </w:rPr>
        <w:t>For</w:t>
      </w:r>
      <w:r>
        <w:rPr>
          <w:rFonts w:hint="default" w:ascii="Times New Roman" w:hAnsi="Times New Roman" w:eastAsia="Times New Roman" w:cs="Times New Roman"/>
          <w:sz w:val="24"/>
          <w:szCs w:val="24"/>
          <w14:ligatures w14:val="none"/>
        </w:rPr>
        <w:t xml:space="preserve"> adjustments involving the Chair, Vice Chairs, or the Secretariat</w:t>
      </w:r>
      <w:r>
        <w:rPr>
          <w:rFonts w:hint="default" w:ascii="Times New Roman" w:hAnsi="Times New Roman" w:eastAsia="宋体" w:cs="Times New Roman"/>
          <w:sz w:val="24"/>
          <w:szCs w:val="24"/>
          <w14:ligatures w14:val="none"/>
        </w:rPr>
        <w:t xml:space="preserve">-hosting </w:t>
      </w:r>
      <w:r>
        <w:rPr>
          <w:rFonts w:hint="default" w:ascii="Times New Roman" w:hAnsi="Times New Roman" w:eastAsia="Times New Roman" w:cs="Times New Roman"/>
          <w:sz w:val="24"/>
          <w:szCs w:val="24"/>
          <w14:ligatures w14:val="none"/>
        </w:rPr>
        <w:t>entity, the Secretariat shall submit an adjustment application to the General Office, and the adjustment shall be implemented upon approval by the Standards Management Committee.</w:t>
      </w:r>
    </w:p>
    <w:p>
      <w:pPr>
        <w:adjustRightInd w:val="0"/>
        <w:snapToGrid w:val="0"/>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Article 20 Dissolution</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The Standards Management Committee shall be entitled to dissolve or adjust a TC or its Secretariat under any of the following circumstances: the TC fail to fulfill its standardization tasks, the Secretariat-hosting entity fail to provide necessary support or involve in illegal or irregular activities.</w:t>
      </w:r>
    </w:p>
    <w:p>
      <w:pPr>
        <w:adjustRightInd w:val="0"/>
        <w:snapToGrid w:val="0"/>
        <w:spacing w:after="312" w:afterLines="100" w:line="240" w:lineRule="auto"/>
        <w:outlineLvl w:val="0"/>
        <w:rPr>
          <w:rFonts w:hint="default" w:ascii="Times New Roman" w:hAnsi="Times New Roman" w:eastAsia="Times New Roman" w:cs="Times New Roman"/>
          <w:b/>
          <w:bCs/>
          <w:sz w:val="28"/>
          <w:szCs w:val="21"/>
          <w14:ligatures w14:val="none"/>
        </w:rPr>
      </w:pPr>
      <w:r>
        <w:rPr>
          <w:rFonts w:hint="default" w:ascii="Times New Roman" w:hAnsi="Times New Roman" w:eastAsia="Times New Roman" w:cs="Times New Roman"/>
          <w:b/>
          <w:bCs/>
          <w:sz w:val="28"/>
          <w:szCs w:val="21"/>
          <w14:ligatures w14:val="none"/>
        </w:rPr>
        <w:t>Chapter V Working Mechanisms</w:t>
      </w:r>
    </w:p>
    <w:p>
      <w:pPr>
        <w:widowControl/>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Article 21 Decision-Making Mechanism</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When making decisions, the TC shall prioritize reaching general consensus on the basis of full deliberations</w:t>
      </w:r>
      <w:r>
        <w:rPr>
          <w:rFonts w:hint="default" w:ascii="Times New Roman" w:hAnsi="Times New Roman" w:eastAsia="宋体" w:cs="Times New Roman"/>
          <w:sz w:val="24"/>
          <w:szCs w:val="24"/>
          <w14:ligatures w14:val="none"/>
        </w:rPr>
        <w:t xml:space="preserve"> among Members. Where consensus cannot be achieved, the TC shall adopt a collective voting system under the leadership of the Chair. Matters requiring decision by vote shall be submitted to all Members for voting</w:t>
      </w:r>
      <w:r>
        <w:rPr>
          <w:rFonts w:hint="default" w:ascii="Times New Roman" w:hAnsi="Times New Roman" w:eastAsia="Times New Roman" w:cs="Times New Roman"/>
          <w:sz w:val="24"/>
          <w:szCs w:val="24"/>
          <w14:ligatures w14:val="none"/>
        </w:rPr>
        <w:t>, and</w:t>
      </w:r>
      <w:r>
        <w:rPr>
          <w:rFonts w:hint="default" w:ascii="Times New Roman" w:hAnsi="Times New Roman" w:eastAsia="宋体" w:cs="Times New Roman"/>
          <w:kern w:val="0"/>
          <w:sz w:val="24"/>
          <w:szCs w:val="24"/>
          <w:lang w:bidi="ar"/>
          <w14:ligatures w14:val="none"/>
        </w:rPr>
        <w:t xml:space="preserve"> </w:t>
      </w:r>
      <w:r>
        <w:rPr>
          <w:rFonts w:hint="default" w:ascii="Times New Roman" w:hAnsi="Times New Roman" w:eastAsia="Times New Roman" w:cs="Times New Roman"/>
          <w:sz w:val="24"/>
          <w:szCs w:val="24"/>
          <w14:ligatures w14:val="none"/>
        </w:rPr>
        <w:t>a resolution shall be adopted only if the following conditions are met at the same time:</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 The quorum for voting shall be no less than two-thirds of all Members.</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(II) Affirmative votes account for two-thirds or more of the total votes cast.</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(III) Negative votes do not exceed one-quarter of the total votes cast.</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The Secretariat shall file the voting resolution with the General Office for record.</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Each TC shall convene at least one meeting once a year to review the work achievements and decide the work plan. The Secretariat shall notify all Members in advance and submit the Meeting Minutes (Annex 7) to the General Office for record.</w:t>
      </w:r>
    </w:p>
    <w:p>
      <w:pPr>
        <w:adjustRightInd w:val="0"/>
        <w:snapToGrid w:val="0"/>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 xml:space="preserve">Article 22 </w:t>
      </w:r>
      <w:r>
        <w:rPr>
          <w:rFonts w:hint="default" w:ascii="Times New Roman" w:hAnsi="Times New Roman" w:eastAsia="Times New Roman" w:cs="Times New Roman"/>
          <w:sz w:val="24"/>
          <w:szCs w:val="24"/>
          <w14:ligatures w14:val="none"/>
        </w:rPr>
        <w:t>The Secretariat shall formulate proposals on matters requiring deliberation by all TC Members, which may include but note limited to the followings:</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 Annual work plans and medium- to long-term strategies.</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(II) Standards framework and system approach.</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(III) Demand for new standard proposals, and the formulation and revision of standards.</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(IV) Technical review of standard proposals and draft standards.</w:t>
      </w:r>
      <w:r>
        <w:rPr>
          <w:rFonts w:hint="default" w:ascii="Times New Roman" w:hAnsi="Times New Roman" w:eastAsia="Times New Roman" w:cs="Times New Roman"/>
          <w:sz w:val="24"/>
          <w:szCs w:val="24"/>
          <w14:ligatures w14:val="none"/>
        </w:rPr>
        <w:br w:type="textWrapping"/>
      </w:r>
      <w:r>
        <w:rPr>
          <w:rFonts w:hint="default" w:ascii="Times New Roman" w:hAnsi="Times New Roman" w:eastAsia="Times New Roman" w:cs="Times New Roman"/>
          <w:sz w:val="24"/>
          <w:szCs w:val="24"/>
          <w14:ligatures w14:val="none"/>
        </w:rPr>
        <w:t>(V) Member adjustments.</w:t>
      </w:r>
    </w:p>
    <w:p>
      <w:pPr>
        <w:widowControl/>
        <w:spacing w:after="312" w:afterLines="100" w:line="360" w:lineRule="auto"/>
        <w:outlineLvl w:val="1"/>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Article 23 Coordination Mechanism</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The General Office shall take the lead in communication and coordination among TCs. The Secretariat of each TC may designate one liaison officer to follow up on the work of other TCs. Liaison officers shall be entitled to access the documents of the TCs under their liaison scope, participate in the activities of such TCs, and put forward comments and suggestions, but shall have no voting rights.</w:t>
      </w:r>
    </w:p>
    <w:p>
      <w:pPr>
        <w:adjustRightInd w:val="0"/>
        <w:snapToGrid w:val="0"/>
        <w:spacing w:after="312" w:afterLines="100" w:line="360" w:lineRule="auto"/>
        <w:rPr>
          <w:rFonts w:hint="default" w:ascii="Times New Roman" w:hAnsi="Times New Roman" w:eastAsia="Times New Roman" w:cs="Times New Roman"/>
          <w:sz w:val="24"/>
          <w:szCs w:val="24"/>
          <w14:ligatures w14:val="none"/>
        </w:rPr>
      </w:pPr>
      <w:r>
        <w:rPr>
          <w:rFonts w:hint="default" w:ascii="Times New Roman" w:hAnsi="Times New Roman" w:eastAsia="Times New Roman" w:cs="Times New Roman"/>
          <w:b/>
          <w:bCs/>
          <w:sz w:val="24"/>
          <w:szCs w:val="24"/>
          <w14:ligatures w14:val="none"/>
        </w:rPr>
        <w:t>Article 24 Support Mechanism</w:t>
      </w:r>
      <w:r>
        <w:rPr>
          <w:rFonts w:hint="default" w:ascii="Times New Roman" w:hAnsi="Times New Roman" w:eastAsia="Times New Roman" w:cs="Times New Roman"/>
          <w:b/>
          <w:bCs/>
          <w:sz w:val="24"/>
          <w:szCs w:val="24"/>
          <w14:ligatures w14:val="none"/>
        </w:rPr>
        <w:br w:type="textWrapping"/>
      </w:r>
      <w:r>
        <w:rPr>
          <w:rFonts w:hint="default" w:ascii="Times New Roman" w:hAnsi="Times New Roman" w:eastAsia="Times New Roman" w:cs="Times New Roman"/>
          <w:sz w:val="24"/>
          <w:szCs w:val="24"/>
          <w14:ligatures w14:val="none"/>
        </w:rPr>
        <w:t>The Secretariat-hosting entity shall provide the Secretariat with necessary human resources, funding and office conditions to ensure the smooth implementation of all TC work.</w:t>
      </w:r>
    </w:p>
    <w:p>
      <w:pPr>
        <w:adjustRightInd w:val="0"/>
        <w:snapToGrid w:val="0"/>
        <w:spacing w:after="312" w:afterLines="100" w:line="240" w:lineRule="auto"/>
        <w:outlineLvl w:val="0"/>
        <w:rPr>
          <w:rFonts w:hint="default" w:ascii="Times New Roman" w:hAnsi="Times New Roman" w:eastAsia="Times New Roman" w:cs="Times New Roman"/>
          <w:b/>
          <w:bCs/>
          <w:sz w:val="28"/>
          <w:szCs w:val="21"/>
          <w14:ligatures w14:val="none"/>
        </w:rPr>
      </w:pPr>
      <w:r>
        <w:rPr>
          <w:rFonts w:hint="default" w:ascii="Times New Roman" w:hAnsi="Times New Roman" w:eastAsia="Times New Roman" w:cs="Times New Roman"/>
          <w:b/>
          <w:bCs/>
          <w:sz w:val="28"/>
          <w:szCs w:val="21"/>
          <w14:ligatures w14:val="none"/>
        </w:rPr>
        <w:t>Chapter VI Supplementary Provisions</w:t>
      </w:r>
    </w:p>
    <w:p>
      <w:pPr>
        <w:adjustRightInd w:val="0"/>
        <w:snapToGrid w:val="0"/>
        <w:spacing w:after="312" w:afterLines="100" w:line="360" w:lineRule="auto"/>
        <w:rPr>
          <w:rFonts w:hint="default" w:ascii="Times New Roman" w:hAnsi="Times New Roman" w:eastAsia="仿宋_GB2312" w:cs="Times New Roman"/>
          <w:sz w:val="32"/>
          <w14:ligatures w14:val="none"/>
        </w:rPr>
      </w:pPr>
      <w:r>
        <w:rPr>
          <w:rFonts w:hint="default" w:ascii="Times New Roman" w:hAnsi="Times New Roman" w:eastAsia="Times New Roman" w:cs="Times New Roman"/>
          <w:b/>
          <w:bCs/>
          <w:sz w:val="24"/>
          <w:szCs w:val="24"/>
          <w14:ligatures w14:val="none"/>
        </w:rPr>
        <w:t xml:space="preserve">Article 25 </w:t>
      </w:r>
      <w:r>
        <w:rPr>
          <w:rFonts w:hint="default" w:ascii="Times New Roman" w:hAnsi="Times New Roman" w:eastAsia="Times New Roman" w:cs="Times New Roman"/>
          <w:sz w:val="24"/>
          <w:szCs w:val="24"/>
          <w14:ligatures w14:val="none"/>
        </w:rPr>
        <w:t>These Rules of Procedure shall be interpreted by GEIDCO.</w:t>
      </w:r>
    </w:p>
    <w:p>
      <w:pPr>
        <w:pStyle w:val="2"/>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280"/>
    <w:rsid w:val="0000007E"/>
    <w:rsid w:val="0000067B"/>
    <w:rsid w:val="00000C42"/>
    <w:rsid w:val="000011B1"/>
    <w:rsid w:val="00002946"/>
    <w:rsid w:val="00002AE0"/>
    <w:rsid w:val="00002B12"/>
    <w:rsid w:val="00002B41"/>
    <w:rsid w:val="00002B8B"/>
    <w:rsid w:val="00004123"/>
    <w:rsid w:val="00004383"/>
    <w:rsid w:val="00004D50"/>
    <w:rsid w:val="00004DFB"/>
    <w:rsid w:val="00004E35"/>
    <w:rsid w:val="00005B26"/>
    <w:rsid w:val="00007592"/>
    <w:rsid w:val="00007951"/>
    <w:rsid w:val="000104FA"/>
    <w:rsid w:val="000107B4"/>
    <w:rsid w:val="00012B3A"/>
    <w:rsid w:val="00012F8F"/>
    <w:rsid w:val="00012FB6"/>
    <w:rsid w:val="000134C2"/>
    <w:rsid w:val="00013525"/>
    <w:rsid w:val="00015C11"/>
    <w:rsid w:val="0001673A"/>
    <w:rsid w:val="00016CB6"/>
    <w:rsid w:val="000170EF"/>
    <w:rsid w:val="000177A8"/>
    <w:rsid w:val="00017D53"/>
    <w:rsid w:val="00017F9D"/>
    <w:rsid w:val="00020701"/>
    <w:rsid w:val="00020A50"/>
    <w:rsid w:val="00021081"/>
    <w:rsid w:val="000211C3"/>
    <w:rsid w:val="00021B59"/>
    <w:rsid w:val="00022DA2"/>
    <w:rsid w:val="0002475D"/>
    <w:rsid w:val="00025702"/>
    <w:rsid w:val="00026019"/>
    <w:rsid w:val="00027CF9"/>
    <w:rsid w:val="00027ECA"/>
    <w:rsid w:val="000307CF"/>
    <w:rsid w:val="00031213"/>
    <w:rsid w:val="0003209D"/>
    <w:rsid w:val="00033DB4"/>
    <w:rsid w:val="000343A4"/>
    <w:rsid w:val="00034EDF"/>
    <w:rsid w:val="000350F6"/>
    <w:rsid w:val="00037D51"/>
    <w:rsid w:val="00040197"/>
    <w:rsid w:val="00040413"/>
    <w:rsid w:val="000405A4"/>
    <w:rsid w:val="0004100D"/>
    <w:rsid w:val="00041451"/>
    <w:rsid w:val="000415FE"/>
    <w:rsid w:val="00041A2A"/>
    <w:rsid w:val="000428A3"/>
    <w:rsid w:val="00042B33"/>
    <w:rsid w:val="000432BF"/>
    <w:rsid w:val="00043A79"/>
    <w:rsid w:val="0004445F"/>
    <w:rsid w:val="00044BE3"/>
    <w:rsid w:val="00044F85"/>
    <w:rsid w:val="000451F9"/>
    <w:rsid w:val="00045A6B"/>
    <w:rsid w:val="00047847"/>
    <w:rsid w:val="000478A4"/>
    <w:rsid w:val="00047CC1"/>
    <w:rsid w:val="00050425"/>
    <w:rsid w:val="00050570"/>
    <w:rsid w:val="00051859"/>
    <w:rsid w:val="0005230F"/>
    <w:rsid w:val="000524FB"/>
    <w:rsid w:val="000550B2"/>
    <w:rsid w:val="00055A16"/>
    <w:rsid w:val="00055FE4"/>
    <w:rsid w:val="00056D47"/>
    <w:rsid w:val="000572D4"/>
    <w:rsid w:val="000578EB"/>
    <w:rsid w:val="0006037F"/>
    <w:rsid w:val="00060A4A"/>
    <w:rsid w:val="00062029"/>
    <w:rsid w:val="00062D51"/>
    <w:rsid w:val="000636A5"/>
    <w:rsid w:val="00064220"/>
    <w:rsid w:val="00064C9F"/>
    <w:rsid w:val="00064D59"/>
    <w:rsid w:val="00065000"/>
    <w:rsid w:val="00065352"/>
    <w:rsid w:val="000654DE"/>
    <w:rsid w:val="00065903"/>
    <w:rsid w:val="00065E7C"/>
    <w:rsid w:val="0006674C"/>
    <w:rsid w:val="00066826"/>
    <w:rsid w:val="00070667"/>
    <w:rsid w:val="00070DAD"/>
    <w:rsid w:val="000713D5"/>
    <w:rsid w:val="00071A52"/>
    <w:rsid w:val="00072EEF"/>
    <w:rsid w:val="000737AD"/>
    <w:rsid w:val="00073956"/>
    <w:rsid w:val="00073AE1"/>
    <w:rsid w:val="00073D67"/>
    <w:rsid w:val="000749F7"/>
    <w:rsid w:val="00075319"/>
    <w:rsid w:val="00075F54"/>
    <w:rsid w:val="00076221"/>
    <w:rsid w:val="0008041E"/>
    <w:rsid w:val="00080E19"/>
    <w:rsid w:val="000810EA"/>
    <w:rsid w:val="000818AA"/>
    <w:rsid w:val="00081C49"/>
    <w:rsid w:val="0008243E"/>
    <w:rsid w:val="000836C7"/>
    <w:rsid w:val="00083A35"/>
    <w:rsid w:val="00083CF2"/>
    <w:rsid w:val="0008552A"/>
    <w:rsid w:val="00085A56"/>
    <w:rsid w:val="00086C02"/>
    <w:rsid w:val="00086EFE"/>
    <w:rsid w:val="000872B0"/>
    <w:rsid w:val="000873EA"/>
    <w:rsid w:val="00087CEC"/>
    <w:rsid w:val="00087F01"/>
    <w:rsid w:val="00090F40"/>
    <w:rsid w:val="00090F64"/>
    <w:rsid w:val="00091015"/>
    <w:rsid w:val="00092233"/>
    <w:rsid w:val="000925F4"/>
    <w:rsid w:val="000929A6"/>
    <w:rsid w:val="00093A2D"/>
    <w:rsid w:val="000947C7"/>
    <w:rsid w:val="00094B81"/>
    <w:rsid w:val="00094E12"/>
    <w:rsid w:val="000955C9"/>
    <w:rsid w:val="000A0150"/>
    <w:rsid w:val="000A0E55"/>
    <w:rsid w:val="000A10CE"/>
    <w:rsid w:val="000A1271"/>
    <w:rsid w:val="000A1FE1"/>
    <w:rsid w:val="000A281D"/>
    <w:rsid w:val="000A3306"/>
    <w:rsid w:val="000A4379"/>
    <w:rsid w:val="000A5221"/>
    <w:rsid w:val="000A598D"/>
    <w:rsid w:val="000A6208"/>
    <w:rsid w:val="000A625A"/>
    <w:rsid w:val="000A6B7C"/>
    <w:rsid w:val="000A73A8"/>
    <w:rsid w:val="000A75A0"/>
    <w:rsid w:val="000A7900"/>
    <w:rsid w:val="000B06E8"/>
    <w:rsid w:val="000B0C38"/>
    <w:rsid w:val="000B12A1"/>
    <w:rsid w:val="000B190E"/>
    <w:rsid w:val="000B4BDC"/>
    <w:rsid w:val="000B57A3"/>
    <w:rsid w:val="000B7162"/>
    <w:rsid w:val="000B7745"/>
    <w:rsid w:val="000C0AFA"/>
    <w:rsid w:val="000C131D"/>
    <w:rsid w:val="000C1C86"/>
    <w:rsid w:val="000C1E60"/>
    <w:rsid w:val="000C432B"/>
    <w:rsid w:val="000C4742"/>
    <w:rsid w:val="000C4783"/>
    <w:rsid w:val="000C5CE1"/>
    <w:rsid w:val="000C6A08"/>
    <w:rsid w:val="000D03F2"/>
    <w:rsid w:val="000D0546"/>
    <w:rsid w:val="000D0C5E"/>
    <w:rsid w:val="000D1A1C"/>
    <w:rsid w:val="000D2C39"/>
    <w:rsid w:val="000D41A2"/>
    <w:rsid w:val="000D666A"/>
    <w:rsid w:val="000D6E4E"/>
    <w:rsid w:val="000D7F06"/>
    <w:rsid w:val="000E0010"/>
    <w:rsid w:val="000E0F86"/>
    <w:rsid w:val="000E160D"/>
    <w:rsid w:val="000E1947"/>
    <w:rsid w:val="000E1EA5"/>
    <w:rsid w:val="000E3281"/>
    <w:rsid w:val="000E3DAE"/>
    <w:rsid w:val="000E4B52"/>
    <w:rsid w:val="000E4ECB"/>
    <w:rsid w:val="000E558B"/>
    <w:rsid w:val="000E5A12"/>
    <w:rsid w:val="000E6371"/>
    <w:rsid w:val="000F07CB"/>
    <w:rsid w:val="000F201B"/>
    <w:rsid w:val="000F2BE6"/>
    <w:rsid w:val="000F2CAA"/>
    <w:rsid w:val="000F3000"/>
    <w:rsid w:val="000F3267"/>
    <w:rsid w:val="000F4D67"/>
    <w:rsid w:val="000F59C9"/>
    <w:rsid w:val="000F5EDC"/>
    <w:rsid w:val="000F649D"/>
    <w:rsid w:val="000F7171"/>
    <w:rsid w:val="000F71E0"/>
    <w:rsid w:val="000F76B9"/>
    <w:rsid w:val="000F7902"/>
    <w:rsid w:val="000F7D58"/>
    <w:rsid w:val="000F7D8C"/>
    <w:rsid w:val="00100AAA"/>
    <w:rsid w:val="001012A0"/>
    <w:rsid w:val="00101C9E"/>
    <w:rsid w:val="00101FF0"/>
    <w:rsid w:val="0010232F"/>
    <w:rsid w:val="001037E2"/>
    <w:rsid w:val="00103A85"/>
    <w:rsid w:val="00103BDA"/>
    <w:rsid w:val="00103F8A"/>
    <w:rsid w:val="0010406C"/>
    <w:rsid w:val="001040D4"/>
    <w:rsid w:val="001058B8"/>
    <w:rsid w:val="00105908"/>
    <w:rsid w:val="001060D8"/>
    <w:rsid w:val="00106110"/>
    <w:rsid w:val="001064B6"/>
    <w:rsid w:val="001066A1"/>
    <w:rsid w:val="00112D8C"/>
    <w:rsid w:val="00113558"/>
    <w:rsid w:val="00113887"/>
    <w:rsid w:val="001140E8"/>
    <w:rsid w:val="001142B4"/>
    <w:rsid w:val="001146F7"/>
    <w:rsid w:val="001149E2"/>
    <w:rsid w:val="00114A71"/>
    <w:rsid w:val="00114AC6"/>
    <w:rsid w:val="00114B86"/>
    <w:rsid w:val="00114E6E"/>
    <w:rsid w:val="00115456"/>
    <w:rsid w:val="001172B9"/>
    <w:rsid w:val="0011761A"/>
    <w:rsid w:val="00117B55"/>
    <w:rsid w:val="00117F4B"/>
    <w:rsid w:val="001209E7"/>
    <w:rsid w:val="00121FD7"/>
    <w:rsid w:val="00122420"/>
    <w:rsid w:val="00122505"/>
    <w:rsid w:val="001225C6"/>
    <w:rsid w:val="00122EE7"/>
    <w:rsid w:val="00124BE9"/>
    <w:rsid w:val="00124D06"/>
    <w:rsid w:val="00125397"/>
    <w:rsid w:val="001256AA"/>
    <w:rsid w:val="00125D0A"/>
    <w:rsid w:val="00125EB9"/>
    <w:rsid w:val="00126329"/>
    <w:rsid w:val="00127170"/>
    <w:rsid w:val="001272A7"/>
    <w:rsid w:val="0012790E"/>
    <w:rsid w:val="001279E4"/>
    <w:rsid w:val="00131C61"/>
    <w:rsid w:val="00131E72"/>
    <w:rsid w:val="00132F5E"/>
    <w:rsid w:val="001339F9"/>
    <w:rsid w:val="00133AA4"/>
    <w:rsid w:val="00134922"/>
    <w:rsid w:val="001367CE"/>
    <w:rsid w:val="0013710F"/>
    <w:rsid w:val="00141221"/>
    <w:rsid w:val="0014180A"/>
    <w:rsid w:val="0014194B"/>
    <w:rsid w:val="00142441"/>
    <w:rsid w:val="00143244"/>
    <w:rsid w:val="00143A19"/>
    <w:rsid w:val="00143F4F"/>
    <w:rsid w:val="001457F0"/>
    <w:rsid w:val="0014714F"/>
    <w:rsid w:val="00147613"/>
    <w:rsid w:val="0014772B"/>
    <w:rsid w:val="00147730"/>
    <w:rsid w:val="00147FED"/>
    <w:rsid w:val="0015063F"/>
    <w:rsid w:val="00150F7C"/>
    <w:rsid w:val="001511B9"/>
    <w:rsid w:val="001522DD"/>
    <w:rsid w:val="00153A0C"/>
    <w:rsid w:val="0015468E"/>
    <w:rsid w:val="001549F7"/>
    <w:rsid w:val="00154B45"/>
    <w:rsid w:val="00154FAF"/>
    <w:rsid w:val="001554B4"/>
    <w:rsid w:val="00156814"/>
    <w:rsid w:val="00157469"/>
    <w:rsid w:val="00157F4C"/>
    <w:rsid w:val="00160A3B"/>
    <w:rsid w:val="001653E1"/>
    <w:rsid w:val="00166F41"/>
    <w:rsid w:val="0016746B"/>
    <w:rsid w:val="001700C8"/>
    <w:rsid w:val="00170F63"/>
    <w:rsid w:val="00171295"/>
    <w:rsid w:val="001716A4"/>
    <w:rsid w:val="00173644"/>
    <w:rsid w:val="00173B56"/>
    <w:rsid w:val="00174A4E"/>
    <w:rsid w:val="0017601C"/>
    <w:rsid w:val="00176919"/>
    <w:rsid w:val="00180806"/>
    <w:rsid w:val="0018206E"/>
    <w:rsid w:val="0018323C"/>
    <w:rsid w:val="0018326F"/>
    <w:rsid w:val="00183A7C"/>
    <w:rsid w:val="0018425B"/>
    <w:rsid w:val="00184431"/>
    <w:rsid w:val="0018450F"/>
    <w:rsid w:val="001845BE"/>
    <w:rsid w:val="00184A7C"/>
    <w:rsid w:val="00185E35"/>
    <w:rsid w:val="0018667A"/>
    <w:rsid w:val="001905B0"/>
    <w:rsid w:val="00190D33"/>
    <w:rsid w:val="00191933"/>
    <w:rsid w:val="00191E0C"/>
    <w:rsid w:val="00192DEB"/>
    <w:rsid w:val="001933F3"/>
    <w:rsid w:val="00194A14"/>
    <w:rsid w:val="00194F45"/>
    <w:rsid w:val="00195AE6"/>
    <w:rsid w:val="00196ADE"/>
    <w:rsid w:val="001973CC"/>
    <w:rsid w:val="001A0927"/>
    <w:rsid w:val="001A0E0C"/>
    <w:rsid w:val="001A214B"/>
    <w:rsid w:val="001A3FA6"/>
    <w:rsid w:val="001A441E"/>
    <w:rsid w:val="001A71CE"/>
    <w:rsid w:val="001A774F"/>
    <w:rsid w:val="001A7F7A"/>
    <w:rsid w:val="001B0D73"/>
    <w:rsid w:val="001B0DA0"/>
    <w:rsid w:val="001B11C7"/>
    <w:rsid w:val="001B2A69"/>
    <w:rsid w:val="001B39B2"/>
    <w:rsid w:val="001B46CA"/>
    <w:rsid w:val="001B55DA"/>
    <w:rsid w:val="001B6D21"/>
    <w:rsid w:val="001B760C"/>
    <w:rsid w:val="001C0136"/>
    <w:rsid w:val="001C255C"/>
    <w:rsid w:val="001C26B9"/>
    <w:rsid w:val="001C26BA"/>
    <w:rsid w:val="001C26E1"/>
    <w:rsid w:val="001C28AA"/>
    <w:rsid w:val="001C2AA6"/>
    <w:rsid w:val="001C32A4"/>
    <w:rsid w:val="001C3FFF"/>
    <w:rsid w:val="001C46F7"/>
    <w:rsid w:val="001C4E91"/>
    <w:rsid w:val="001C5A86"/>
    <w:rsid w:val="001C735C"/>
    <w:rsid w:val="001C7EFE"/>
    <w:rsid w:val="001D0A50"/>
    <w:rsid w:val="001D19BE"/>
    <w:rsid w:val="001D3A31"/>
    <w:rsid w:val="001D3C73"/>
    <w:rsid w:val="001D40EF"/>
    <w:rsid w:val="001D6FA5"/>
    <w:rsid w:val="001D7181"/>
    <w:rsid w:val="001D720B"/>
    <w:rsid w:val="001D7643"/>
    <w:rsid w:val="001E00DC"/>
    <w:rsid w:val="001E060F"/>
    <w:rsid w:val="001E0670"/>
    <w:rsid w:val="001E2851"/>
    <w:rsid w:val="001E3DF8"/>
    <w:rsid w:val="001E3EF2"/>
    <w:rsid w:val="001E4CB5"/>
    <w:rsid w:val="001E4F76"/>
    <w:rsid w:val="001E630D"/>
    <w:rsid w:val="001E7E0C"/>
    <w:rsid w:val="001F0BEF"/>
    <w:rsid w:val="001F1375"/>
    <w:rsid w:val="001F14F8"/>
    <w:rsid w:val="001F17FA"/>
    <w:rsid w:val="001F1D8F"/>
    <w:rsid w:val="001F2009"/>
    <w:rsid w:val="001F2071"/>
    <w:rsid w:val="001F30D9"/>
    <w:rsid w:val="001F40E5"/>
    <w:rsid w:val="001F465D"/>
    <w:rsid w:val="001F5346"/>
    <w:rsid w:val="001F5E5B"/>
    <w:rsid w:val="001F691E"/>
    <w:rsid w:val="00200C13"/>
    <w:rsid w:val="002015D8"/>
    <w:rsid w:val="00201667"/>
    <w:rsid w:val="002022F8"/>
    <w:rsid w:val="002030D0"/>
    <w:rsid w:val="002037EB"/>
    <w:rsid w:val="002039D7"/>
    <w:rsid w:val="00203D4D"/>
    <w:rsid w:val="00203D93"/>
    <w:rsid w:val="002062E0"/>
    <w:rsid w:val="00206722"/>
    <w:rsid w:val="002110DB"/>
    <w:rsid w:val="0021189C"/>
    <w:rsid w:val="002118F6"/>
    <w:rsid w:val="00212159"/>
    <w:rsid w:val="00212CB6"/>
    <w:rsid w:val="00213DA6"/>
    <w:rsid w:val="00214FF4"/>
    <w:rsid w:val="00216411"/>
    <w:rsid w:val="0021673D"/>
    <w:rsid w:val="0021684D"/>
    <w:rsid w:val="00217967"/>
    <w:rsid w:val="00217B52"/>
    <w:rsid w:val="00217F1B"/>
    <w:rsid w:val="00221A97"/>
    <w:rsid w:val="00221E8D"/>
    <w:rsid w:val="00222815"/>
    <w:rsid w:val="0022356F"/>
    <w:rsid w:val="00223841"/>
    <w:rsid w:val="00224D6B"/>
    <w:rsid w:val="0022554B"/>
    <w:rsid w:val="00225EE4"/>
    <w:rsid w:val="00226118"/>
    <w:rsid w:val="00226794"/>
    <w:rsid w:val="00226B71"/>
    <w:rsid w:val="00230A76"/>
    <w:rsid w:val="00232F73"/>
    <w:rsid w:val="00234069"/>
    <w:rsid w:val="002346F3"/>
    <w:rsid w:val="00235954"/>
    <w:rsid w:val="00235A37"/>
    <w:rsid w:val="00235C3B"/>
    <w:rsid w:val="002363A5"/>
    <w:rsid w:val="002367A4"/>
    <w:rsid w:val="0023710A"/>
    <w:rsid w:val="00240506"/>
    <w:rsid w:val="002421B4"/>
    <w:rsid w:val="00242564"/>
    <w:rsid w:val="002427D4"/>
    <w:rsid w:val="00244393"/>
    <w:rsid w:val="002448D0"/>
    <w:rsid w:val="00246C39"/>
    <w:rsid w:val="00247E4B"/>
    <w:rsid w:val="002500A8"/>
    <w:rsid w:val="00250E86"/>
    <w:rsid w:val="00250F58"/>
    <w:rsid w:val="00251053"/>
    <w:rsid w:val="0025119D"/>
    <w:rsid w:val="002517F7"/>
    <w:rsid w:val="00251836"/>
    <w:rsid w:val="00252AD5"/>
    <w:rsid w:val="00254DC9"/>
    <w:rsid w:val="002550A9"/>
    <w:rsid w:val="00256C41"/>
    <w:rsid w:val="002602B4"/>
    <w:rsid w:val="00260FBF"/>
    <w:rsid w:val="0026111D"/>
    <w:rsid w:val="002618E1"/>
    <w:rsid w:val="00263226"/>
    <w:rsid w:val="00263236"/>
    <w:rsid w:val="00264345"/>
    <w:rsid w:val="0026572A"/>
    <w:rsid w:val="00265C94"/>
    <w:rsid w:val="002661FF"/>
    <w:rsid w:val="00266AB4"/>
    <w:rsid w:val="00267926"/>
    <w:rsid w:val="002712D8"/>
    <w:rsid w:val="002746C2"/>
    <w:rsid w:val="00274B1E"/>
    <w:rsid w:val="00275305"/>
    <w:rsid w:val="002761A5"/>
    <w:rsid w:val="0028105E"/>
    <w:rsid w:val="00281356"/>
    <w:rsid w:val="00283513"/>
    <w:rsid w:val="00283CE3"/>
    <w:rsid w:val="0028475D"/>
    <w:rsid w:val="00285114"/>
    <w:rsid w:val="00285922"/>
    <w:rsid w:val="00286A1F"/>
    <w:rsid w:val="00286D70"/>
    <w:rsid w:val="0028734E"/>
    <w:rsid w:val="002876B3"/>
    <w:rsid w:val="00290FA3"/>
    <w:rsid w:val="00293ADE"/>
    <w:rsid w:val="00295E6F"/>
    <w:rsid w:val="00295E70"/>
    <w:rsid w:val="00296770"/>
    <w:rsid w:val="002968BA"/>
    <w:rsid w:val="00296959"/>
    <w:rsid w:val="00296AE3"/>
    <w:rsid w:val="00297123"/>
    <w:rsid w:val="0029724E"/>
    <w:rsid w:val="002972B9"/>
    <w:rsid w:val="002A0BD6"/>
    <w:rsid w:val="002A0C9D"/>
    <w:rsid w:val="002A2474"/>
    <w:rsid w:val="002A3450"/>
    <w:rsid w:val="002A43CE"/>
    <w:rsid w:val="002A440C"/>
    <w:rsid w:val="002A48A0"/>
    <w:rsid w:val="002A5E4D"/>
    <w:rsid w:val="002A604D"/>
    <w:rsid w:val="002A7A69"/>
    <w:rsid w:val="002A7B7B"/>
    <w:rsid w:val="002B0A79"/>
    <w:rsid w:val="002B14E6"/>
    <w:rsid w:val="002B160D"/>
    <w:rsid w:val="002B20BE"/>
    <w:rsid w:val="002B2DDC"/>
    <w:rsid w:val="002B3C6E"/>
    <w:rsid w:val="002B495A"/>
    <w:rsid w:val="002B521B"/>
    <w:rsid w:val="002B69BA"/>
    <w:rsid w:val="002B6BDA"/>
    <w:rsid w:val="002B6C1A"/>
    <w:rsid w:val="002B6E0A"/>
    <w:rsid w:val="002B730D"/>
    <w:rsid w:val="002B7E5E"/>
    <w:rsid w:val="002C1096"/>
    <w:rsid w:val="002C1A5F"/>
    <w:rsid w:val="002C2EA8"/>
    <w:rsid w:val="002C53B4"/>
    <w:rsid w:val="002C54A8"/>
    <w:rsid w:val="002C55F3"/>
    <w:rsid w:val="002C66ED"/>
    <w:rsid w:val="002C6F51"/>
    <w:rsid w:val="002C7597"/>
    <w:rsid w:val="002D0E2B"/>
    <w:rsid w:val="002D17FE"/>
    <w:rsid w:val="002D18F8"/>
    <w:rsid w:val="002D1D72"/>
    <w:rsid w:val="002D200F"/>
    <w:rsid w:val="002D2E71"/>
    <w:rsid w:val="002D3208"/>
    <w:rsid w:val="002D34DD"/>
    <w:rsid w:val="002D4AF6"/>
    <w:rsid w:val="002D4C5D"/>
    <w:rsid w:val="002D4EF7"/>
    <w:rsid w:val="002D585D"/>
    <w:rsid w:val="002D73FA"/>
    <w:rsid w:val="002D77C8"/>
    <w:rsid w:val="002E0183"/>
    <w:rsid w:val="002E02C1"/>
    <w:rsid w:val="002E0E42"/>
    <w:rsid w:val="002E2356"/>
    <w:rsid w:val="002E2F73"/>
    <w:rsid w:val="002E3158"/>
    <w:rsid w:val="002E495F"/>
    <w:rsid w:val="002E4D39"/>
    <w:rsid w:val="002F0ABE"/>
    <w:rsid w:val="002F0CFE"/>
    <w:rsid w:val="002F1A2E"/>
    <w:rsid w:val="002F1CCB"/>
    <w:rsid w:val="002F219D"/>
    <w:rsid w:val="002F248B"/>
    <w:rsid w:val="002F3132"/>
    <w:rsid w:val="002F3145"/>
    <w:rsid w:val="002F3891"/>
    <w:rsid w:val="002F38C1"/>
    <w:rsid w:val="002F3DAC"/>
    <w:rsid w:val="002F426A"/>
    <w:rsid w:val="002F5188"/>
    <w:rsid w:val="002F5861"/>
    <w:rsid w:val="002F5A44"/>
    <w:rsid w:val="002F6E75"/>
    <w:rsid w:val="002F71A1"/>
    <w:rsid w:val="00300F79"/>
    <w:rsid w:val="00301673"/>
    <w:rsid w:val="00301842"/>
    <w:rsid w:val="00301C09"/>
    <w:rsid w:val="00301DD2"/>
    <w:rsid w:val="003020C1"/>
    <w:rsid w:val="00302AFE"/>
    <w:rsid w:val="00302EBF"/>
    <w:rsid w:val="00304194"/>
    <w:rsid w:val="0030427F"/>
    <w:rsid w:val="00304483"/>
    <w:rsid w:val="003048BC"/>
    <w:rsid w:val="00304CF4"/>
    <w:rsid w:val="00305690"/>
    <w:rsid w:val="00306AD5"/>
    <w:rsid w:val="00306F33"/>
    <w:rsid w:val="0030722E"/>
    <w:rsid w:val="003100A4"/>
    <w:rsid w:val="00310547"/>
    <w:rsid w:val="00310C5F"/>
    <w:rsid w:val="00312637"/>
    <w:rsid w:val="0031278D"/>
    <w:rsid w:val="003153D7"/>
    <w:rsid w:val="00315C6B"/>
    <w:rsid w:val="003161B5"/>
    <w:rsid w:val="00316981"/>
    <w:rsid w:val="00316E40"/>
    <w:rsid w:val="00317030"/>
    <w:rsid w:val="0031731A"/>
    <w:rsid w:val="00321596"/>
    <w:rsid w:val="00321E98"/>
    <w:rsid w:val="003229F5"/>
    <w:rsid w:val="00322DA1"/>
    <w:rsid w:val="0032318A"/>
    <w:rsid w:val="00323250"/>
    <w:rsid w:val="003236AD"/>
    <w:rsid w:val="0032456A"/>
    <w:rsid w:val="003247D2"/>
    <w:rsid w:val="00324DCA"/>
    <w:rsid w:val="00326064"/>
    <w:rsid w:val="0032716A"/>
    <w:rsid w:val="003278EA"/>
    <w:rsid w:val="00334289"/>
    <w:rsid w:val="0033487A"/>
    <w:rsid w:val="00334C53"/>
    <w:rsid w:val="00334E0D"/>
    <w:rsid w:val="00334EDF"/>
    <w:rsid w:val="003371DD"/>
    <w:rsid w:val="0034068B"/>
    <w:rsid w:val="00340A00"/>
    <w:rsid w:val="003412A3"/>
    <w:rsid w:val="00341871"/>
    <w:rsid w:val="003421E2"/>
    <w:rsid w:val="00342DFF"/>
    <w:rsid w:val="00347633"/>
    <w:rsid w:val="00350532"/>
    <w:rsid w:val="003506EC"/>
    <w:rsid w:val="00350B7B"/>
    <w:rsid w:val="00353BF2"/>
    <w:rsid w:val="00353C7F"/>
    <w:rsid w:val="00354731"/>
    <w:rsid w:val="00355D58"/>
    <w:rsid w:val="00355E6F"/>
    <w:rsid w:val="00356329"/>
    <w:rsid w:val="00360850"/>
    <w:rsid w:val="00360CA1"/>
    <w:rsid w:val="0036110C"/>
    <w:rsid w:val="0036140F"/>
    <w:rsid w:val="00362498"/>
    <w:rsid w:val="00362517"/>
    <w:rsid w:val="00362B6D"/>
    <w:rsid w:val="00363433"/>
    <w:rsid w:val="0036564C"/>
    <w:rsid w:val="003657DC"/>
    <w:rsid w:val="00367172"/>
    <w:rsid w:val="003707B9"/>
    <w:rsid w:val="00370FDC"/>
    <w:rsid w:val="0037130F"/>
    <w:rsid w:val="003718EA"/>
    <w:rsid w:val="00372C7B"/>
    <w:rsid w:val="0037418C"/>
    <w:rsid w:val="0037586F"/>
    <w:rsid w:val="003773DE"/>
    <w:rsid w:val="0037747D"/>
    <w:rsid w:val="00377EA8"/>
    <w:rsid w:val="00380EE7"/>
    <w:rsid w:val="00381380"/>
    <w:rsid w:val="00381ECF"/>
    <w:rsid w:val="00382012"/>
    <w:rsid w:val="0038217A"/>
    <w:rsid w:val="003822E9"/>
    <w:rsid w:val="00382CE0"/>
    <w:rsid w:val="0038339A"/>
    <w:rsid w:val="00383432"/>
    <w:rsid w:val="0038374D"/>
    <w:rsid w:val="00383D92"/>
    <w:rsid w:val="00384199"/>
    <w:rsid w:val="003854D7"/>
    <w:rsid w:val="00386947"/>
    <w:rsid w:val="0039014A"/>
    <w:rsid w:val="00390731"/>
    <w:rsid w:val="00391A5A"/>
    <w:rsid w:val="00392891"/>
    <w:rsid w:val="00392D03"/>
    <w:rsid w:val="00393103"/>
    <w:rsid w:val="003943AC"/>
    <w:rsid w:val="00394422"/>
    <w:rsid w:val="00395D04"/>
    <w:rsid w:val="0039782C"/>
    <w:rsid w:val="003A0647"/>
    <w:rsid w:val="003A0EFF"/>
    <w:rsid w:val="003A26F0"/>
    <w:rsid w:val="003A34E6"/>
    <w:rsid w:val="003A4846"/>
    <w:rsid w:val="003A4C83"/>
    <w:rsid w:val="003A5336"/>
    <w:rsid w:val="003A56AF"/>
    <w:rsid w:val="003A5D8F"/>
    <w:rsid w:val="003A6278"/>
    <w:rsid w:val="003A65EC"/>
    <w:rsid w:val="003A7577"/>
    <w:rsid w:val="003B1529"/>
    <w:rsid w:val="003B18E7"/>
    <w:rsid w:val="003B343A"/>
    <w:rsid w:val="003B371E"/>
    <w:rsid w:val="003B456F"/>
    <w:rsid w:val="003B5AB4"/>
    <w:rsid w:val="003B5C71"/>
    <w:rsid w:val="003B6546"/>
    <w:rsid w:val="003B6614"/>
    <w:rsid w:val="003B6A51"/>
    <w:rsid w:val="003C1E61"/>
    <w:rsid w:val="003C54AB"/>
    <w:rsid w:val="003C5810"/>
    <w:rsid w:val="003C60D9"/>
    <w:rsid w:val="003C6B6B"/>
    <w:rsid w:val="003C6E6F"/>
    <w:rsid w:val="003D0654"/>
    <w:rsid w:val="003D194D"/>
    <w:rsid w:val="003D1CBE"/>
    <w:rsid w:val="003D23CB"/>
    <w:rsid w:val="003D2977"/>
    <w:rsid w:val="003D2E08"/>
    <w:rsid w:val="003D2E2D"/>
    <w:rsid w:val="003D2F68"/>
    <w:rsid w:val="003D36AD"/>
    <w:rsid w:val="003D3DC9"/>
    <w:rsid w:val="003D4598"/>
    <w:rsid w:val="003D5827"/>
    <w:rsid w:val="003D5EC3"/>
    <w:rsid w:val="003D6482"/>
    <w:rsid w:val="003D75D6"/>
    <w:rsid w:val="003D791D"/>
    <w:rsid w:val="003E00F8"/>
    <w:rsid w:val="003E025E"/>
    <w:rsid w:val="003E03B7"/>
    <w:rsid w:val="003E0763"/>
    <w:rsid w:val="003E0EAF"/>
    <w:rsid w:val="003E1062"/>
    <w:rsid w:val="003E12F9"/>
    <w:rsid w:val="003E1EBD"/>
    <w:rsid w:val="003E2591"/>
    <w:rsid w:val="003E2C3B"/>
    <w:rsid w:val="003E3188"/>
    <w:rsid w:val="003E3709"/>
    <w:rsid w:val="003E4842"/>
    <w:rsid w:val="003E48BD"/>
    <w:rsid w:val="003E51B2"/>
    <w:rsid w:val="003E63A2"/>
    <w:rsid w:val="003E66FD"/>
    <w:rsid w:val="003E67D4"/>
    <w:rsid w:val="003E742D"/>
    <w:rsid w:val="003F0157"/>
    <w:rsid w:val="003F0869"/>
    <w:rsid w:val="003F10F1"/>
    <w:rsid w:val="003F22DD"/>
    <w:rsid w:val="003F2A40"/>
    <w:rsid w:val="003F476D"/>
    <w:rsid w:val="003F531F"/>
    <w:rsid w:val="003F5FBA"/>
    <w:rsid w:val="003F67BD"/>
    <w:rsid w:val="003F686D"/>
    <w:rsid w:val="003F6E22"/>
    <w:rsid w:val="003F7276"/>
    <w:rsid w:val="003F757F"/>
    <w:rsid w:val="004009D9"/>
    <w:rsid w:val="00400C5B"/>
    <w:rsid w:val="00400EB0"/>
    <w:rsid w:val="00402161"/>
    <w:rsid w:val="00402D1E"/>
    <w:rsid w:val="0040357C"/>
    <w:rsid w:val="00403698"/>
    <w:rsid w:val="0040400B"/>
    <w:rsid w:val="00404389"/>
    <w:rsid w:val="00405667"/>
    <w:rsid w:val="004056A8"/>
    <w:rsid w:val="004056AB"/>
    <w:rsid w:val="004067A4"/>
    <w:rsid w:val="00406E34"/>
    <w:rsid w:val="00406E7B"/>
    <w:rsid w:val="0041093A"/>
    <w:rsid w:val="00410DA0"/>
    <w:rsid w:val="00411215"/>
    <w:rsid w:val="00411B38"/>
    <w:rsid w:val="00411D0C"/>
    <w:rsid w:val="00412405"/>
    <w:rsid w:val="0041384C"/>
    <w:rsid w:val="004139C4"/>
    <w:rsid w:val="00413E24"/>
    <w:rsid w:val="00414321"/>
    <w:rsid w:val="004146A2"/>
    <w:rsid w:val="004146D8"/>
    <w:rsid w:val="00417592"/>
    <w:rsid w:val="00417F7C"/>
    <w:rsid w:val="00420BE7"/>
    <w:rsid w:val="00421570"/>
    <w:rsid w:val="00421936"/>
    <w:rsid w:val="00422343"/>
    <w:rsid w:val="004226AE"/>
    <w:rsid w:val="00423925"/>
    <w:rsid w:val="0042410A"/>
    <w:rsid w:val="004246E7"/>
    <w:rsid w:val="00425271"/>
    <w:rsid w:val="0042556E"/>
    <w:rsid w:val="00426C07"/>
    <w:rsid w:val="00427FDB"/>
    <w:rsid w:val="00431190"/>
    <w:rsid w:val="0043290A"/>
    <w:rsid w:val="00432990"/>
    <w:rsid w:val="00432F80"/>
    <w:rsid w:val="004347BF"/>
    <w:rsid w:val="00434FE2"/>
    <w:rsid w:val="00435BF2"/>
    <w:rsid w:val="00435E54"/>
    <w:rsid w:val="00436DEE"/>
    <w:rsid w:val="004373CF"/>
    <w:rsid w:val="00437F3F"/>
    <w:rsid w:val="00440450"/>
    <w:rsid w:val="00441AE9"/>
    <w:rsid w:val="00441DC9"/>
    <w:rsid w:val="00442066"/>
    <w:rsid w:val="0044216A"/>
    <w:rsid w:val="00442A58"/>
    <w:rsid w:val="00442A83"/>
    <w:rsid w:val="00442C4C"/>
    <w:rsid w:val="00442FA9"/>
    <w:rsid w:val="00443603"/>
    <w:rsid w:val="00443EC7"/>
    <w:rsid w:val="004454A5"/>
    <w:rsid w:val="00445EC1"/>
    <w:rsid w:val="004460A0"/>
    <w:rsid w:val="00446187"/>
    <w:rsid w:val="00446600"/>
    <w:rsid w:val="00447516"/>
    <w:rsid w:val="00447ACC"/>
    <w:rsid w:val="00450E2C"/>
    <w:rsid w:val="0045194F"/>
    <w:rsid w:val="00452868"/>
    <w:rsid w:val="0045306A"/>
    <w:rsid w:val="00453C35"/>
    <w:rsid w:val="00454591"/>
    <w:rsid w:val="00454F0C"/>
    <w:rsid w:val="00455088"/>
    <w:rsid w:val="00455256"/>
    <w:rsid w:val="00457EBC"/>
    <w:rsid w:val="00457F0C"/>
    <w:rsid w:val="00460C29"/>
    <w:rsid w:val="00460C49"/>
    <w:rsid w:val="00460CFA"/>
    <w:rsid w:val="004620FE"/>
    <w:rsid w:val="004626AE"/>
    <w:rsid w:val="00462CD6"/>
    <w:rsid w:val="00464877"/>
    <w:rsid w:val="00466442"/>
    <w:rsid w:val="004667A6"/>
    <w:rsid w:val="00466C91"/>
    <w:rsid w:val="00467768"/>
    <w:rsid w:val="004706CE"/>
    <w:rsid w:val="00470D68"/>
    <w:rsid w:val="00470F55"/>
    <w:rsid w:val="004718E8"/>
    <w:rsid w:val="00471E0D"/>
    <w:rsid w:val="004732F9"/>
    <w:rsid w:val="00474EE9"/>
    <w:rsid w:val="00475625"/>
    <w:rsid w:val="00476E30"/>
    <w:rsid w:val="00481D8C"/>
    <w:rsid w:val="004823F6"/>
    <w:rsid w:val="00482532"/>
    <w:rsid w:val="00482E35"/>
    <w:rsid w:val="00483335"/>
    <w:rsid w:val="004836BB"/>
    <w:rsid w:val="00484033"/>
    <w:rsid w:val="00484773"/>
    <w:rsid w:val="00485319"/>
    <w:rsid w:val="0048539B"/>
    <w:rsid w:val="00490328"/>
    <w:rsid w:val="00490585"/>
    <w:rsid w:val="00491161"/>
    <w:rsid w:val="00491692"/>
    <w:rsid w:val="00492E29"/>
    <w:rsid w:val="00493242"/>
    <w:rsid w:val="00496B1A"/>
    <w:rsid w:val="00496B6F"/>
    <w:rsid w:val="00496CAA"/>
    <w:rsid w:val="004A0582"/>
    <w:rsid w:val="004A0AA3"/>
    <w:rsid w:val="004A23B2"/>
    <w:rsid w:val="004A23DB"/>
    <w:rsid w:val="004A3CDE"/>
    <w:rsid w:val="004A51A1"/>
    <w:rsid w:val="004A5C69"/>
    <w:rsid w:val="004A798A"/>
    <w:rsid w:val="004B00E2"/>
    <w:rsid w:val="004B040A"/>
    <w:rsid w:val="004B12C5"/>
    <w:rsid w:val="004B1C25"/>
    <w:rsid w:val="004B25AE"/>
    <w:rsid w:val="004B270F"/>
    <w:rsid w:val="004B28A3"/>
    <w:rsid w:val="004B41F0"/>
    <w:rsid w:val="004B59E9"/>
    <w:rsid w:val="004B6B12"/>
    <w:rsid w:val="004B74BA"/>
    <w:rsid w:val="004C0869"/>
    <w:rsid w:val="004C13A4"/>
    <w:rsid w:val="004C1A4E"/>
    <w:rsid w:val="004C1C09"/>
    <w:rsid w:val="004C3535"/>
    <w:rsid w:val="004C36D0"/>
    <w:rsid w:val="004C384C"/>
    <w:rsid w:val="004C3FCB"/>
    <w:rsid w:val="004C4A99"/>
    <w:rsid w:val="004C5449"/>
    <w:rsid w:val="004C6604"/>
    <w:rsid w:val="004C667A"/>
    <w:rsid w:val="004C7B12"/>
    <w:rsid w:val="004C7DCA"/>
    <w:rsid w:val="004C7E4E"/>
    <w:rsid w:val="004D1619"/>
    <w:rsid w:val="004D1C6D"/>
    <w:rsid w:val="004D2641"/>
    <w:rsid w:val="004D2CFE"/>
    <w:rsid w:val="004D309F"/>
    <w:rsid w:val="004D422E"/>
    <w:rsid w:val="004D47B5"/>
    <w:rsid w:val="004D5324"/>
    <w:rsid w:val="004D5868"/>
    <w:rsid w:val="004D595A"/>
    <w:rsid w:val="004D70A3"/>
    <w:rsid w:val="004D7685"/>
    <w:rsid w:val="004D7CC2"/>
    <w:rsid w:val="004E0634"/>
    <w:rsid w:val="004E1804"/>
    <w:rsid w:val="004E1931"/>
    <w:rsid w:val="004E23CF"/>
    <w:rsid w:val="004E3633"/>
    <w:rsid w:val="004E3FD0"/>
    <w:rsid w:val="004E5645"/>
    <w:rsid w:val="004E57DF"/>
    <w:rsid w:val="004E7BAA"/>
    <w:rsid w:val="004F0BCA"/>
    <w:rsid w:val="004F1969"/>
    <w:rsid w:val="004F24D4"/>
    <w:rsid w:val="004F2820"/>
    <w:rsid w:val="004F2AEC"/>
    <w:rsid w:val="004F389B"/>
    <w:rsid w:val="004F4569"/>
    <w:rsid w:val="004F5109"/>
    <w:rsid w:val="004F54C9"/>
    <w:rsid w:val="004F557E"/>
    <w:rsid w:val="004F6308"/>
    <w:rsid w:val="004F6E30"/>
    <w:rsid w:val="004F7115"/>
    <w:rsid w:val="004F7BB0"/>
    <w:rsid w:val="0050179C"/>
    <w:rsid w:val="0050245B"/>
    <w:rsid w:val="00502710"/>
    <w:rsid w:val="0050290F"/>
    <w:rsid w:val="00502972"/>
    <w:rsid w:val="005032E4"/>
    <w:rsid w:val="00503489"/>
    <w:rsid w:val="00503E97"/>
    <w:rsid w:val="005041F5"/>
    <w:rsid w:val="00504A99"/>
    <w:rsid w:val="00505E53"/>
    <w:rsid w:val="00506179"/>
    <w:rsid w:val="00506C85"/>
    <w:rsid w:val="00506E23"/>
    <w:rsid w:val="005074FA"/>
    <w:rsid w:val="005075A5"/>
    <w:rsid w:val="00507B32"/>
    <w:rsid w:val="005103FF"/>
    <w:rsid w:val="00512D0F"/>
    <w:rsid w:val="00513384"/>
    <w:rsid w:val="005137A8"/>
    <w:rsid w:val="005137BD"/>
    <w:rsid w:val="00514044"/>
    <w:rsid w:val="005142F5"/>
    <w:rsid w:val="00514BCE"/>
    <w:rsid w:val="00520039"/>
    <w:rsid w:val="00521011"/>
    <w:rsid w:val="00521077"/>
    <w:rsid w:val="005218E3"/>
    <w:rsid w:val="00522401"/>
    <w:rsid w:val="00522F38"/>
    <w:rsid w:val="00523477"/>
    <w:rsid w:val="00523644"/>
    <w:rsid w:val="00524033"/>
    <w:rsid w:val="005245D3"/>
    <w:rsid w:val="00524A55"/>
    <w:rsid w:val="00524B8F"/>
    <w:rsid w:val="00524D42"/>
    <w:rsid w:val="005258C1"/>
    <w:rsid w:val="005259DD"/>
    <w:rsid w:val="00525DE8"/>
    <w:rsid w:val="005301ED"/>
    <w:rsid w:val="0053188B"/>
    <w:rsid w:val="0053260C"/>
    <w:rsid w:val="00533A3D"/>
    <w:rsid w:val="00533F87"/>
    <w:rsid w:val="005355E7"/>
    <w:rsid w:val="00541AB3"/>
    <w:rsid w:val="005421DA"/>
    <w:rsid w:val="0054223E"/>
    <w:rsid w:val="00542DA1"/>
    <w:rsid w:val="005441DC"/>
    <w:rsid w:val="0054662B"/>
    <w:rsid w:val="00546B71"/>
    <w:rsid w:val="005470B4"/>
    <w:rsid w:val="00550DFA"/>
    <w:rsid w:val="00552188"/>
    <w:rsid w:val="005526B1"/>
    <w:rsid w:val="005538FB"/>
    <w:rsid w:val="005551D2"/>
    <w:rsid w:val="00555A24"/>
    <w:rsid w:val="005566BB"/>
    <w:rsid w:val="00557508"/>
    <w:rsid w:val="005611EF"/>
    <w:rsid w:val="00561FD6"/>
    <w:rsid w:val="00564D64"/>
    <w:rsid w:val="00565265"/>
    <w:rsid w:val="0056535A"/>
    <w:rsid w:val="005659D6"/>
    <w:rsid w:val="0056606B"/>
    <w:rsid w:val="0056671B"/>
    <w:rsid w:val="00566F5B"/>
    <w:rsid w:val="005670AF"/>
    <w:rsid w:val="00570A97"/>
    <w:rsid w:val="00570F27"/>
    <w:rsid w:val="00570F9B"/>
    <w:rsid w:val="00571403"/>
    <w:rsid w:val="00573E13"/>
    <w:rsid w:val="005764BE"/>
    <w:rsid w:val="00576E5F"/>
    <w:rsid w:val="00577566"/>
    <w:rsid w:val="00577BB6"/>
    <w:rsid w:val="00577E49"/>
    <w:rsid w:val="00580B4D"/>
    <w:rsid w:val="00580F46"/>
    <w:rsid w:val="0058137D"/>
    <w:rsid w:val="00581492"/>
    <w:rsid w:val="00581F83"/>
    <w:rsid w:val="00582C16"/>
    <w:rsid w:val="005835A1"/>
    <w:rsid w:val="00583E19"/>
    <w:rsid w:val="005857CD"/>
    <w:rsid w:val="005868CA"/>
    <w:rsid w:val="005871C7"/>
    <w:rsid w:val="00587A3D"/>
    <w:rsid w:val="005905F4"/>
    <w:rsid w:val="0059079B"/>
    <w:rsid w:val="00592147"/>
    <w:rsid w:val="00592797"/>
    <w:rsid w:val="005930CD"/>
    <w:rsid w:val="0059381D"/>
    <w:rsid w:val="0059430A"/>
    <w:rsid w:val="005A0970"/>
    <w:rsid w:val="005A0AA3"/>
    <w:rsid w:val="005A0F2B"/>
    <w:rsid w:val="005A16A5"/>
    <w:rsid w:val="005A16FE"/>
    <w:rsid w:val="005A263F"/>
    <w:rsid w:val="005A36AE"/>
    <w:rsid w:val="005A4076"/>
    <w:rsid w:val="005A41E6"/>
    <w:rsid w:val="005A420F"/>
    <w:rsid w:val="005A50AA"/>
    <w:rsid w:val="005A649A"/>
    <w:rsid w:val="005A6626"/>
    <w:rsid w:val="005A693B"/>
    <w:rsid w:val="005A6B9B"/>
    <w:rsid w:val="005A6D85"/>
    <w:rsid w:val="005A710F"/>
    <w:rsid w:val="005B0022"/>
    <w:rsid w:val="005B0109"/>
    <w:rsid w:val="005B0B17"/>
    <w:rsid w:val="005B1048"/>
    <w:rsid w:val="005B2394"/>
    <w:rsid w:val="005B2DEA"/>
    <w:rsid w:val="005B320B"/>
    <w:rsid w:val="005B3816"/>
    <w:rsid w:val="005B3885"/>
    <w:rsid w:val="005B389F"/>
    <w:rsid w:val="005B416F"/>
    <w:rsid w:val="005B48D1"/>
    <w:rsid w:val="005B4BF5"/>
    <w:rsid w:val="005B5B95"/>
    <w:rsid w:val="005B5D39"/>
    <w:rsid w:val="005B62D7"/>
    <w:rsid w:val="005B6388"/>
    <w:rsid w:val="005B6633"/>
    <w:rsid w:val="005B747E"/>
    <w:rsid w:val="005B74D5"/>
    <w:rsid w:val="005B7DCB"/>
    <w:rsid w:val="005C03B6"/>
    <w:rsid w:val="005C0DAC"/>
    <w:rsid w:val="005C1018"/>
    <w:rsid w:val="005C2083"/>
    <w:rsid w:val="005C2FE5"/>
    <w:rsid w:val="005C3CC1"/>
    <w:rsid w:val="005C4C84"/>
    <w:rsid w:val="005C55C9"/>
    <w:rsid w:val="005C5AC8"/>
    <w:rsid w:val="005C6266"/>
    <w:rsid w:val="005C770E"/>
    <w:rsid w:val="005C79D9"/>
    <w:rsid w:val="005C7A23"/>
    <w:rsid w:val="005C7A2B"/>
    <w:rsid w:val="005D02C8"/>
    <w:rsid w:val="005D0574"/>
    <w:rsid w:val="005D0D30"/>
    <w:rsid w:val="005D0DA8"/>
    <w:rsid w:val="005D1151"/>
    <w:rsid w:val="005D160A"/>
    <w:rsid w:val="005D1CC8"/>
    <w:rsid w:val="005D23D8"/>
    <w:rsid w:val="005D26B7"/>
    <w:rsid w:val="005D277B"/>
    <w:rsid w:val="005D3572"/>
    <w:rsid w:val="005D370B"/>
    <w:rsid w:val="005D62DE"/>
    <w:rsid w:val="005D6792"/>
    <w:rsid w:val="005D73E6"/>
    <w:rsid w:val="005E01DA"/>
    <w:rsid w:val="005E174B"/>
    <w:rsid w:val="005E1829"/>
    <w:rsid w:val="005E2196"/>
    <w:rsid w:val="005E4A9C"/>
    <w:rsid w:val="005E5283"/>
    <w:rsid w:val="005E5541"/>
    <w:rsid w:val="005E6701"/>
    <w:rsid w:val="005E6D07"/>
    <w:rsid w:val="005E7187"/>
    <w:rsid w:val="005E7635"/>
    <w:rsid w:val="005F0922"/>
    <w:rsid w:val="005F232E"/>
    <w:rsid w:val="005F2D45"/>
    <w:rsid w:val="005F34C0"/>
    <w:rsid w:val="005F3B1D"/>
    <w:rsid w:val="005F43D5"/>
    <w:rsid w:val="005F48E9"/>
    <w:rsid w:val="005F4E0F"/>
    <w:rsid w:val="005F56AC"/>
    <w:rsid w:val="005F77A4"/>
    <w:rsid w:val="006013FF"/>
    <w:rsid w:val="0060159B"/>
    <w:rsid w:val="00601AE9"/>
    <w:rsid w:val="006020D6"/>
    <w:rsid w:val="006021EC"/>
    <w:rsid w:val="0060297E"/>
    <w:rsid w:val="00603FEE"/>
    <w:rsid w:val="006048AA"/>
    <w:rsid w:val="00605A39"/>
    <w:rsid w:val="00606114"/>
    <w:rsid w:val="00606D11"/>
    <w:rsid w:val="006073DB"/>
    <w:rsid w:val="006101FA"/>
    <w:rsid w:val="00610A51"/>
    <w:rsid w:val="00610BDD"/>
    <w:rsid w:val="0061183F"/>
    <w:rsid w:val="0061385B"/>
    <w:rsid w:val="00613ADD"/>
    <w:rsid w:val="00614CA3"/>
    <w:rsid w:val="006206E8"/>
    <w:rsid w:val="0062185D"/>
    <w:rsid w:val="00621CC1"/>
    <w:rsid w:val="006225E4"/>
    <w:rsid w:val="006226CE"/>
    <w:rsid w:val="00622DE4"/>
    <w:rsid w:val="0062309B"/>
    <w:rsid w:val="006234DE"/>
    <w:rsid w:val="0062376D"/>
    <w:rsid w:val="00623773"/>
    <w:rsid w:val="0062450E"/>
    <w:rsid w:val="00624793"/>
    <w:rsid w:val="00624D6B"/>
    <w:rsid w:val="00625037"/>
    <w:rsid w:val="006251A0"/>
    <w:rsid w:val="00626178"/>
    <w:rsid w:val="00627220"/>
    <w:rsid w:val="00627250"/>
    <w:rsid w:val="006276D3"/>
    <w:rsid w:val="006300EA"/>
    <w:rsid w:val="006321D5"/>
    <w:rsid w:val="006334FF"/>
    <w:rsid w:val="00633994"/>
    <w:rsid w:val="00634850"/>
    <w:rsid w:val="00637145"/>
    <w:rsid w:val="0063749F"/>
    <w:rsid w:val="006376A2"/>
    <w:rsid w:val="00640D72"/>
    <w:rsid w:val="00641421"/>
    <w:rsid w:val="006420A0"/>
    <w:rsid w:val="00642BB9"/>
    <w:rsid w:val="00643C1A"/>
    <w:rsid w:val="00643E59"/>
    <w:rsid w:val="00644705"/>
    <w:rsid w:val="0064693C"/>
    <w:rsid w:val="00646B58"/>
    <w:rsid w:val="00647006"/>
    <w:rsid w:val="0064708E"/>
    <w:rsid w:val="006479F1"/>
    <w:rsid w:val="00647D37"/>
    <w:rsid w:val="00647DC9"/>
    <w:rsid w:val="00651372"/>
    <w:rsid w:val="00651FB7"/>
    <w:rsid w:val="006524CE"/>
    <w:rsid w:val="00652FAE"/>
    <w:rsid w:val="006544D2"/>
    <w:rsid w:val="006552EC"/>
    <w:rsid w:val="00655C7A"/>
    <w:rsid w:val="006565DD"/>
    <w:rsid w:val="00656C82"/>
    <w:rsid w:val="00657844"/>
    <w:rsid w:val="006606EB"/>
    <w:rsid w:val="006616D7"/>
    <w:rsid w:val="00661EC1"/>
    <w:rsid w:val="006628EC"/>
    <w:rsid w:val="0066314C"/>
    <w:rsid w:val="00663152"/>
    <w:rsid w:val="00665485"/>
    <w:rsid w:val="00665513"/>
    <w:rsid w:val="00665B1B"/>
    <w:rsid w:val="006663BB"/>
    <w:rsid w:val="0066701D"/>
    <w:rsid w:val="00667A10"/>
    <w:rsid w:val="006701D1"/>
    <w:rsid w:val="0067164F"/>
    <w:rsid w:val="00671EC0"/>
    <w:rsid w:val="00673503"/>
    <w:rsid w:val="00673CF3"/>
    <w:rsid w:val="00673EB5"/>
    <w:rsid w:val="00674E2A"/>
    <w:rsid w:val="006756FE"/>
    <w:rsid w:val="006759D3"/>
    <w:rsid w:val="00676225"/>
    <w:rsid w:val="00676934"/>
    <w:rsid w:val="00676A39"/>
    <w:rsid w:val="00677C68"/>
    <w:rsid w:val="00677EDB"/>
    <w:rsid w:val="0068004E"/>
    <w:rsid w:val="0068160C"/>
    <w:rsid w:val="0068340E"/>
    <w:rsid w:val="006834AD"/>
    <w:rsid w:val="00683A12"/>
    <w:rsid w:val="00683DC7"/>
    <w:rsid w:val="006845A1"/>
    <w:rsid w:val="00684D23"/>
    <w:rsid w:val="00685103"/>
    <w:rsid w:val="00685587"/>
    <w:rsid w:val="006857ED"/>
    <w:rsid w:val="00685956"/>
    <w:rsid w:val="00685DFB"/>
    <w:rsid w:val="0068729F"/>
    <w:rsid w:val="006873C9"/>
    <w:rsid w:val="0068764D"/>
    <w:rsid w:val="006877B1"/>
    <w:rsid w:val="00687D09"/>
    <w:rsid w:val="00690114"/>
    <w:rsid w:val="00690FBD"/>
    <w:rsid w:val="006912F6"/>
    <w:rsid w:val="00691957"/>
    <w:rsid w:val="0069261A"/>
    <w:rsid w:val="006933AB"/>
    <w:rsid w:val="00694267"/>
    <w:rsid w:val="00694A49"/>
    <w:rsid w:val="00695352"/>
    <w:rsid w:val="00695423"/>
    <w:rsid w:val="0069745F"/>
    <w:rsid w:val="00697461"/>
    <w:rsid w:val="006977D9"/>
    <w:rsid w:val="00697C87"/>
    <w:rsid w:val="006A0951"/>
    <w:rsid w:val="006A0B3B"/>
    <w:rsid w:val="006A1AE5"/>
    <w:rsid w:val="006A1D8D"/>
    <w:rsid w:val="006A1EE5"/>
    <w:rsid w:val="006A2264"/>
    <w:rsid w:val="006A2301"/>
    <w:rsid w:val="006A4946"/>
    <w:rsid w:val="006A4C9A"/>
    <w:rsid w:val="006A599D"/>
    <w:rsid w:val="006A5C7A"/>
    <w:rsid w:val="006A5CBC"/>
    <w:rsid w:val="006A6646"/>
    <w:rsid w:val="006A74FD"/>
    <w:rsid w:val="006A79D3"/>
    <w:rsid w:val="006B12BB"/>
    <w:rsid w:val="006B1946"/>
    <w:rsid w:val="006B1CF7"/>
    <w:rsid w:val="006B1DBE"/>
    <w:rsid w:val="006B2B4A"/>
    <w:rsid w:val="006B392A"/>
    <w:rsid w:val="006B3D50"/>
    <w:rsid w:val="006B41E4"/>
    <w:rsid w:val="006B52B5"/>
    <w:rsid w:val="006B6422"/>
    <w:rsid w:val="006B77BE"/>
    <w:rsid w:val="006C1BE1"/>
    <w:rsid w:val="006C32B0"/>
    <w:rsid w:val="006C624A"/>
    <w:rsid w:val="006C74CB"/>
    <w:rsid w:val="006D166C"/>
    <w:rsid w:val="006D2F3D"/>
    <w:rsid w:val="006D3869"/>
    <w:rsid w:val="006D4A1F"/>
    <w:rsid w:val="006D55A3"/>
    <w:rsid w:val="006D7053"/>
    <w:rsid w:val="006D77EC"/>
    <w:rsid w:val="006E0DFA"/>
    <w:rsid w:val="006E1BEA"/>
    <w:rsid w:val="006E1F15"/>
    <w:rsid w:val="006E2565"/>
    <w:rsid w:val="006E3209"/>
    <w:rsid w:val="006E49E8"/>
    <w:rsid w:val="006E4E16"/>
    <w:rsid w:val="006E625A"/>
    <w:rsid w:val="006E770F"/>
    <w:rsid w:val="006F13BD"/>
    <w:rsid w:val="006F2180"/>
    <w:rsid w:val="006F2215"/>
    <w:rsid w:val="006F316C"/>
    <w:rsid w:val="006F3301"/>
    <w:rsid w:val="006F3635"/>
    <w:rsid w:val="006F3AD8"/>
    <w:rsid w:val="006F41B1"/>
    <w:rsid w:val="006F41EE"/>
    <w:rsid w:val="006F5B74"/>
    <w:rsid w:val="006F6782"/>
    <w:rsid w:val="00704265"/>
    <w:rsid w:val="007052AF"/>
    <w:rsid w:val="00706F9B"/>
    <w:rsid w:val="00707710"/>
    <w:rsid w:val="00710116"/>
    <w:rsid w:val="00711127"/>
    <w:rsid w:val="00711265"/>
    <w:rsid w:val="0071140C"/>
    <w:rsid w:val="00711A6D"/>
    <w:rsid w:val="00711DC9"/>
    <w:rsid w:val="007124F0"/>
    <w:rsid w:val="007125B2"/>
    <w:rsid w:val="00712F4C"/>
    <w:rsid w:val="00713779"/>
    <w:rsid w:val="0071442D"/>
    <w:rsid w:val="00714C26"/>
    <w:rsid w:val="00714D6E"/>
    <w:rsid w:val="007159A9"/>
    <w:rsid w:val="00716230"/>
    <w:rsid w:val="007168AC"/>
    <w:rsid w:val="0071732B"/>
    <w:rsid w:val="007175FE"/>
    <w:rsid w:val="0071772E"/>
    <w:rsid w:val="00717B52"/>
    <w:rsid w:val="0072081D"/>
    <w:rsid w:val="00720A1A"/>
    <w:rsid w:val="00720AF0"/>
    <w:rsid w:val="0072270B"/>
    <w:rsid w:val="007228CA"/>
    <w:rsid w:val="00722D59"/>
    <w:rsid w:val="00723741"/>
    <w:rsid w:val="0072418A"/>
    <w:rsid w:val="00724198"/>
    <w:rsid w:val="0072588D"/>
    <w:rsid w:val="00726482"/>
    <w:rsid w:val="00726742"/>
    <w:rsid w:val="00727005"/>
    <w:rsid w:val="00727A12"/>
    <w:rsid w:val="00727A7E"/>
    <w:rsid w:val="00727B3B"/>
    <w:rsid w:val="00733A21"/>
    <w:rsid w:val="00733BE9"/>
    <w:rsid w:val="0073425E"/>
    <w:rsid w:val="0073516C"/>
    <w:rsid w:val="00735414"/>
    <w:rsid w:val="007365EF"/>
    <w:rsid w:val="00736959"/>
    <w:rsid w:val="00736DF0"/>
    <w:rsid w:val="00736E8A"/>
    <w:rsid w:val="00737770"/>
    <w:rsid w:val="007379B5"/>
    <w:rsid w:val="0074026B"/>
    <w:rsid w:val="00740B1D"/>
    <w:rsid w:val="007414BC"/>
    <w:rsid w:val="007417A2"/>
    <w:rsid w:val="00741808"/>
    <w:rsid w:val="0074213C"/>
    <w:rsid w:val="00742E40"/>
    <w:rsid w:val="00743F90"/>
    <w:rsid w:val="00746664"/>
    <w:rsid w:val="00747BF8"/>
    <w:rsid w:val="007501BA"/>
    <w:rsid w:val="0075077F"/>
    <w:rsid w:val="00751F47"/>
    <w:rsid w:val="00753DDC"/>
    <w:rsid w:val="00754625"/>
    <w:rsid w:val="0075477E"/>
    <w:rsid w:val="00754FC8"/>
    <w:rsid w:val="0075573D"/>
    <w:rsid w:val="00756075"/>
    <w:rsid w:val="0076031C"/>
    <w:rsid w:val="00760667"/>
    <w:rsid w:val="00760D1A"/>
    <w:rsid w:val="007627AD"/>
    <w:rsid w:val="00763573"/>
    <w:rsid w:val="00764C67"/>
    <w:rsid w:val="007665D0"/>
    <w:rsid w:val="007674BC"/>
    <w:rsid w:val="00767D48"/>
    <w:rsid w:val="0077073E"/>
    <w:rsid w:val="00770E61"/>
    <w:rsid w:val="007717DD"/>
    <w:rsid w:val="00772B74"/>
    <w:rsid w:val="00772BCF"/>
    <w:rsid w:val="00772DBB"/>
    <w:rsid w:val="007743DE"/>
    <w:rsid w:val="00775C4D"/>
    <w:rsid w:val="0077687B"/>
    <w:rsid w:val="00777584"/>
    <w:rsid w:val="00777C1C"/>
    <w:rsid w:val="0078084D"/>
    <w:rsid w:val="00780894"/>
    <w:rsid w:val="00780985"/>
    <w:rsid w:val="007815BF"/>
    <w:rsid w:val="0078289A"/>
    <w:rsid w:val="00784DB4"/>
    <w:rsid w:val="00784FEE"/>
    <w:rsid w:val="00785E67"/>
    <w:rsid w:val="00785E97"/>
    <w:rsid w:val="00785F48"/>
    <w:rsid w:val="0078608C"/>
    <w:rsid w:val="007864A4"/>
    <w:rsid w:val="00786BF4"/>
    <w:rsid w:val="00787E26"/>
    <w:rsid w:val="007900E8"/>
    <w:rsid w:val="00790125"/>
    <w:rsid w:val="00790BA9"/>
    <w:rsid w:val="007916CA"/>
    <w:rsid w:val="007920A1"/>
    <w:rsid w:val="00792125"/>
    <w:rsid w:val="00792500"/>
    <w:rsid w:val="00792FB3"/>
    <w:rsid w:val="0079302B"/>
    <w:rsid w:val="00793DB6"/>
    <w:rsid w:val="00794163"/>
    <w:rsid w:val="00794B5C"/>
    <w:rsid w:val="00794C0E"/>
    <w:rsid w:val="00796629"/>
    <w:rsid w:val="00796F9A"/>
    <w:rsid w:val="00797CF1"/>
    <w:rsid w:val="007A0542"/>
    <w:rsid w:val="007A11E9"/>
    <w:rsid w:val="007A1422"/>
    <w:rsid w:val="007A2604"/>
    <w:rsid w:val="007A3052"/>
    <w:rsid w:val="007A3939"/>
    <w:rsid w:val="007A4194"/>
    <w:rsid w:val="007A55CE"/>
    <w:rsid w:val="007A6269"/>
    <w:rsid w:val="007A7F99"/>
    <w:rsid w:val="007B4346"/>
    <w:rsid w:val="007B45BE"/>
    <w:rsid w:val="007B4698"/>
    <w:rsid w:val="007B4A7F"/>
    <w:rsid w:val="007B4F70"/>
    <w:rsid w:val="007B5A45"/>
    <w:rsid w:val="007B5F9D"/>
    <w:rsid w:val="007B666F"/>
    <w:rsid w:val="007C0F19"/>
    <w:rsid w:val="007C0F27"/>
    <w:rsid w:val="007C1572"/>
    <w:rsid w:val="007C6583"/>
    <w:rsid w:val="007C6B30"/>
    <w:rsid w:val="007C70B9"/>
    <w:rsid w:val="007C75A2"/>
    <w:rsid w:val="007C7AE9"/>
    <w:rsid w:val="007D0CCB"/>
    <w:rsid w:val="007D0F32"/>
    <w:rsid w:val="007D10AD"/>
    <w:rsid w:val="007D1334"/>
    <w:rsid w:val="007D195F"/>
    <w:rsid w:val="007D1FA4"/>
    <w:rsid w:val="007D21FE"/>
    <w:rsid w:val="007D3344"/>
    <w:rsid w:val="007D47B6"/>
    <w:rsid w:val="007D49B2"/>
    <w:rsid w:val="007D5E3B"/>
    <w:rsid w:val="007D655B"/>
    <w:rsid w:val="007D6FC3"/>
    <w:rsid w:val="007E04A8"/>
    <w:rsid w:val="007E09B5"/>
    <w:rsid w:val="007E0ED8"/>
    <w:rsid w:val="007E10FA"/>
    <w:rsid w:val="007E1779"/>
    <w:rsid w:val="007E2304"/>
    <w:rsid w:val="007E3028"/>
    <w:rsid w:val="007E5B64"/>
    <w:rsid w:val="007E68E1"/>
    <w:rsid w:val="007E6AE3"/>
    <w:rsid w:val="007E74F6"/>
    <w:rsid w:val="007F0F61"/>
    <w:rsid w:val="007F1DDE"/>
    <w:rsid w:val="007F2305"/>
    <w:rsid w:val="007F29B4"/>
    <w:rsid w:val="007F3681"/>
    <w:rsid w:val="007F4B1D"/>
    <w:rsid w:val="007F5AD1"/>
    <w:rsid w:val="007F5B48"/>
    <w:rsid w:val="007F5D61"/>
    <w:rsid w:val="007F62E9"/>
    <w:rsid w:val="007F692E"/>
    <w:rsid w:val="007F6FC2"/>
    <w:rsid w:val="007F7D59"/>
    <w:rsid w:val="008024AE"/>
    <w:rsid w:val="00802544"/>
    <w:rsid w:val="00802A37"/>
    <w:rsid w:val="008037BD"/>
    <w:rsid w:val="00803B71"/>
    <w:rsid w:val="00804733"/>
    <w:rsid w:val="00804A1C"/>
    <w:rsid w:val="00804D59"/>
    <w:rsid w:val="00804D65"/>
    <w:rsid w:val="00805DE0"/>
    <w:rsid w:val="00805EFE"/>
    <w:rsid w:val="00806873"/>
    <w:rsid w:val="00807531"/>
    <w:rsid w:val="00811E3A"/>
    <w:rsid w:val="008124CE"/>
    <w:rsid w:val="0081261F"/>
    <w:rsid w:val="008132D6"/>
    <w:rsid w:val="00813939"/>
    <w:rsid w:val="00813D3F"/>
    <w:rsid w:val="0081519F"/>
    <w:rsid w:val="008151AB"/>
    <w:rsid w:val="008154D3"/>
    <w:rsid w:val="008157D6"/>
    <w:rsid w:val="00815B84"/>
    <w:rsid w:val="00815CC8"/>
    <w:rsid w:val="0081661D"/>
    <w:rsid w:val="0081666B"/>
    <w:rsid w:val="0081709A"/>
    <w:rsid w:val="00820623"/>
    <w:rsid w:val="00820CD2"/>
    <w:rsid w:val="008215CD"/>
    <w:rsid w:val="008216BA"/>
    <w:rsid w:val="00821827"/>
    <w:rsid w:val="00821A18"/>
    <w:rsid w:val="00821CD3"/>
    <w:rsid w:val="00822909"/>
    <w:rsid w:val="00823441"/>
    <w:rsid w:val="0082589B"/>
    <w:rsid w:val="008258F0"/>
    <w:rsid w:val="008259B6"/>
    <w:rsid w:val="00825DF7"/>
    <w:rsid w:val="00825ED9"/>
    <w:rsid w:val="00825FDE"/>
    <w:rsid w:val="008273F9"/>
    <w:rsid w:val="00827C3A"/>
    <w:rsid w:val="00827CAA"/>
    <w:rsid w:val="00830C38"/>
    <w:rsid w:val="00830E2A"/>
    <w:rsid w:val="00831712"/>
    <w:rsid w:val="00835878"/>
    <w:rsid w:val="00836BBB"/>
    <w:rsid w:val="00836C05"/>
    <w:rsid w:val="00836C08"/>
    <w:rsid w:val="00837AE9"/>
    <w:rsid w:val="00840268"/>
    <w:rsid w:val="008415D0"/>
    <w:rsid w:val="00841AD7"/>
    <w:rsid w:val="00843F20"/>
    <w:rsid w:val="00847CA3"/>
    <w:rsid w:val="00851A4B"/>
    <w:rsid w:val="00853201"/>
    <w:rsid w:val="008550BE"/>
    <w:rsid w:val="008555ED"/>
    <w:rsid w:val="0085577E"/>
    <w:rsid w:val="00855CC5"/>
    <w:rsid w:val="00855E03"/>
    <w:rsid w:val="00856170"/>
    <w:rsid w:val="008571BA"/>
    <w:rsid w:val="008572EE"/>
    <w:rsid w:val="00860257"/>
    <w:rsid w:val="0086039C"/>
    <w:rsid w:val="0086050B"/>
    <w:rsid w:val="008613E6"/>
    <w:rsid w:val="008616D0"/>
    <w:rsid w:val="00861E3E"/>
    <w:rsid w:val="00862493"/>
    <w:rsid w:val="0086250D"/>
    <w:rsid w:val="00862B59"/>
    <w:rsid w:val="00863A07"/>
    <w:rsid w:val="00863E6B"/>
    <w:rsid w:val="008655A9"/>
    <w:rsid w:val="008659EC"/>
    <w:rsid w:val="00866AAC"/>
    <w:rsid w:val="00867552"/>
    <w:rsid w:val="00870CB9"/>
    <w:rsid w:val="0087183B"/>
    <w:rsid w:val="0087302D"/>
    <w:rsid w:val="00873358"/>
    <w:rsid w:val="008737BC"/>
    <w:rsid w:val="00873D2F"/>
    <w:rsid w:val="00874B14"/>
    <w:rsid w:val="00874CD6"/>
    <w:rsid w:val="00875958"/>
    <w:rsid w:val="00875A11"/>
    <w:rsid w:val="0087648A"/>
    <w:rsid w:val="00877010"/>
    <w:rsid w:val="00877764"/>
    <w:rsid w:val="0088029A"/>
    <w:rsid w:val="00880AEE"/>
    <w:rsid w:val="00880D4D"/>
    <w:rsid w:val="00880EB6"/>
    <w:rsid w:val="00881568"/>
    <w:rsid w:val="00881FEC"/>
    <w:rsid w:val="00883113"/>
    <w:rsid w:val="0088380F"/>
    <w:rsid w:val="00886CDC"/>
    <w:rsid w:val="00887C26"/>
    <w:rsid w:val="00887DAF"/>
    <w:rsid w:val="00890DF4"/>
    <w:rsid w:val="008911DD"/>
    <w:rsid w:val="008923A2"/>
    <w:rsid w:val="008926AE"/>
    <w:rsid w:val="00892DBC"/>
    <w:rsid w:val="00893430"/>
    <w:rsid w:val="00893937"/>
    <w:rsid w:val="00895808"/>
    <w:rsid w:val="00895FFC"/>
    <w:rsid w:val="008968FE"/>
    <w:rsid w:val="00897360"/>
    <w:rsid w:val="008A03E5"/>
    <w:rsid w:val="008A25A4"/>
    <w:rsid w:val="008A2E2B"/>
    <w:rsid w:val="008A38B2"/>
    <w:rsid w:val="008A4563"/>
    <w:rsid w:val="008A548C"/>
    <w:rsid w:val="008A6321"/>
    <w:rsid w:val="008A637C"/>
    <w:rsid w:val="008A7638"/>
    <w:rsid w:val="008A7C59"/>
    <w:rsid w:val="008A7D37"/>
    <w:rsid w:val="008B0082"/>
    <w:rsid w:val="008B0BC4"/>
    <w:rsid w:val="008B112C"/>
    <w:rsid w:val="008B56D1"/>
    <w:rsid w:val="008B5E4D"/>
    <w:rsid w:val="008B62A7"/>
    <w:rsid w:val="008B6B06"/>
    <w:rsid w:val="008B78C6"/>
    <w:rsid w:val="008B7A7A"/>
    <w:rsid w:val="008C09AA"/>
    <w:rsid w:val="008C0AB4"/>
    <w:rsid w:val="008C0B00"/>
    <w:rsid w:val="008C0EE1"/>
    <w:rsid w:val="008C1082"/>
    <w:rsid w:val="008C20C5"/>
    <w:rsid w:val="008C28EE"/>
    <w:rsid w:val="008C369E"/>
    <w:rsid w:val="008C3E2A"/>
    <w:rsid w:val="008C59BF"/>
    <w:rsid w:val="008C61A1"/>
    <w:rsid w:val="008C6B2F"/>
    <w:rsid w:val="008C6ECB"/>
    <w:rsid w:val="008C7665"/>
    <w:rsid w:val="008D016B"/>
    <w:rsid w:val="008D05EB"/>
    <w:rsid w:val="008D0890"/>
    <w:rsid w:val="008D0A0C"/>
    <w:rsid w:val="008D1504"/>
    <w:rsid w:val="008D3864"/>
    <w:rsid w:val="008D3BD5"/>
    <w:rsid w:val="008D50C2"/>
    <w:rsid w:val="008D50D4"/>
    <w:rsid w:val="008D568A"/>
    <w:rsid w:val="008D65CE"/>
    <w:rsid w:val="008D6615"/>
    <w:rsid w:val="008D6FE1"/>
    <w:rsid w:val="008D7DF6"/>
    <w:rsid w:val="008E0F80"/>
    <w:rsid w:val="008E11C2"/>
    <w:rsid w:val="008E1FEE"/>
    <w:rsid w:val="008E29FE"/>
    <w:rsid w:val="008E2F9B"/>
    <w:rsid w:val="008E3343"/>
    <w:rsid w:val="008E5384"/>
    <w:rsid w:val="008E57D8"/>
    <w:rsid w:val="008E5B32"/>
    <w:rsid w:val="008E66FB"/>
    <w:rsid w:val="008E6718"/>
    <w:rsid w:val="008E68C4"/>
    <w:rsid w:val="008F01BB"/>
    <w:rsid w:val="008F0E4F"/>
    <w:rsid w:val="008F14F0"/>
    <w:rsid w:val="008F1565"/>
    <w:rsid w:val="008F16BD"/>
    <w:rsid w:val="008F359D"/>
    <w:rsid w:val="008F3634"/>
    <w:rsid w:val="008F68C9"/>
    <w:rsid w:val="008F6D25"/>
    <w:rsid w:val="008F700B"/>
    <w:rsid w:val="008F754D"/>
    <w:rsid w:val="0090075F"/>
    <w:rsid w:val="00903393"/>
    <w:rsid w:val="00903435"/>
    <w:rsid w:val="00903B60"/>
    <w:rsid w:val="00904275"/>
    <w:rsid w:val="00904645"/>
    <w:rsid w:val="0090535B"/>
    <w:rsid w:val="0090588D"/>
    <w:rsid w:val="009058FF"/>
    <w:rsid w:val="00906BE0"/>
    <w:rsid w:val="00906F3B"/>
    <w:rsid w:val="00907160"/>
    <w:rsid w:val="009101A6"/>
    <w:rsid w:val="009103FE"/>
    <w:rsid w:val="00910791"/>
    <w:rsid w:val="00910800"/>
    <w:rsid w:val="00910D9E"/>
    <w:rsid w:val="00910E11"/>
    <w:rsid w:val="00911547"/>
    <w:rsid w:val="00911D08"/>
    <w:rsid w:val="009128FF"/>
    <w:rsid w:val="009129A5"/>
    <w:rsid w:val="0091318C"/>
    <w:rsid w:val="009133E5"/>
    <w:rsid w:val="00913886"/>
    <w:rsid w:val="0091516A"/>
    <w:rsid w:val="00915696"/>
    <w:rsid w:val="00916ED0"/>
    <w:rsid w:val="009171D0"/>
    <w:rsid w:val="0091751C"/>
    <w:rsid w:val="009201FC"/>
    <w:rsid w:val="009203B7"/>
    <w:rsid w:val="00921A54"/>
    <w:rsid w:val="00921D5D"/>
    <w:rsid w:val="00921F08"/>
    <w:rsid w:val="009224FA"/>
    <w:rsid w:val="00922B95"/>
    <w:rsid w:val="0092343E"/>
    <w:rsid w:val="00923737"/>
    <w:rsid w:val="0092467E"/>
    <w:rsid w:val="009256A3"/>
    <w:rsid w:val="00926711"/>
    <w:rsid w:val="009276CB"/>
    <w:rsid w:val="0093037F"/>
    <w:rsid w:val="00930859"/>
    <w:rsid w:val="00930A65"/>
    <w:rsid w:val="00931807"/>
    <w:rsid w:val="009334DB"/>
    <w:rsid w:val="00933717"/>
    <w:rsid w:val="00935A09"/>
    <w:rsid w:val="00936B67"/>
    <w:rsid w:val="00937546"/>
    <w:rsid w:val="00937673"/>
    <w:rsid w:val="00937B88"/>
    <w:rsid w:val="0094017E"/>
    <w:rsid w:val="009402AF"/>
    <w:rsid w:val="00940FE6"/>
    <w:rsid w:val="009437C2"/>
    <w:rsid w:val="0094391E"/>
    <w:rsid w:val="00943932"/>
    <w:rsid w:val="00943BB4"/>
    <w:rsid w:val="00946135"/>
    <w:rsid w:val="009465C3"/>
    <w:rsid w:val="009474CA"/>
    <w:rsid w:val="00950512"/>
    <w:rsid w:val="00952AA0"/>
    <w:rsid w:val="009533B8"/>
    <w:rsid w:val="00954113"/>
    <w:rsid w:val="00954557"/>
    <w:rsid w:val="00954B8E"/>
    <w:rsid w:val="00954BB0"/>
    <w:rsid w:val="0096036B"/>
    <w:rsid w:val="009605EB"/>
    <w:rsid w:val="0096077F"/>
    <w:rsid w:val="00961138"/>
    <w:rsid w:val="009615F6"/>
    <w:rsid w:val="00961636"/>
    <w:rsid w:val="00961F81"/>
    <w:rsid w:val="009621E4"/>
    <w:rsid w:val="0096271F"/>
    <w:rsid w:val="0096332D"/>
    <w:rsid w:val="0096465A"/>
    <w:rsid w:val="0096624A"/>
    <w:rsid w:val="009703BD"/>
    <w:rsid w:val="00970987"/>
    <w:rsid w:val="009717B4"/>
    <w:rsid w:val="0097204F"/>
    <w:rsid w:val="00972615"/>
    <w:rsid w:val="00972927"/>
    <w:rsid w:val="00976153"/>
    <w:rsid w:val="009761E5"/>
    <w:rsid w:val="00977EF2"/>
    <w:rsid w:val="0098022E"/>
    <w:rsid w:val="00980A6C"/>
    <w:rsid w:val="00981024"/>
    <w:rsid w:val="00981A94"/>
    <w:rsid w:val="00982C3E"/>
    <w:rsid w:val="00984749"/>
    <w:rsid w:val="00984751"/>
    <w:rsid w:val="00985883"/>
    <w:rsid w:val="009860F0"/>
    <w:rsid w:val="0098632A"/>
    <w:rsid w:val="009866D2"/>
    <w:rsid w:val="00987415"/>
    <w:rsid w:val="00990331"/>
    <w:rsid w:val="00990A95"/>
    <w:rsid w:val="009913CA"/>
    <w:rsid w:val="00992188"/>
    <w:rsid w:val="009921A1"/>
    <w:rsid w:val="0099243A"/>
    <w:rsid w:val="00993D4E"/>
    <w:rsid w:val="0099407E"/>
    <w:rsid w:val="00994AD1"/>
    <w:rsid w:val="00994EF0"/>
    <w:rsid w:val="00995498"/>
    <w:rsid w:val="00995851"/>
    <w:rsid w:val="00995E43"/>
    <w:rsid w:val="00996468"/>
    <w:rsid w:val="00997397"/>
    <w:rsid w:val="009976C8"/>
    <w:rsid w:val="009A0D91"/>
    <w:rsid w:val="009A0F40"/>
    <w:rsid w:val="009A2CDB"/>
    <w:rsid w:val="009A3987"/>
    <w:rsid w:val="009A3E75"/>
    <w:rsid w:val="009A455C"/>
    <w:rsid w:val="009A4DD9"/>
    <w:rsid w:val="009A5403"/>
    <w:rsid w:val="009A6225"/>
    <w:rsid w:val="009A7CC6"/>
    <w:rsid w:val="009B0E71"/>
    <w:rsid w:val="009B10BC"/>
    <w:rsid w:val="009B115A"/>
    <w:rsid w:val="009B12C0"/>
    <w:rsid w:val="009B1590"/>
    <w:rsid w:val="009B1C09"/>
    <w:rsid w:val="009B1F08"/>
    <w:rsid w:val="009B1F7E"/>
    <w:rsid w:val="009B3020"/>
    <w:rsid w:val="009B41F0"/>
    <w:rsid w:val="009B4439"/>
    <w:rsid w:val="009B447C"/>
    <w:rsid w:val="009B4728"/>
    <w:rsid w:val="009B5A18"/>
    <w:rsid w:val="009B760C"/>
    <w:rsid w:val="009B79DB"/>
    <w:rsid w:val="009C01A3"/>
    <w:rsid w:val="009C0680"/>
    <w:rsid w:val="009C14E8"/>
    <w:rsid w:val="009C186A"/>
    <w:rsid w:val="009C1D27"/>
    <w:rsid w:val="009C1DA3"/>
    <w:rsid w:val="009C1DD4"/>
    <w:rsid w:val="009C351B"/>
    <w:rsid w:val="009C5202"/>
    <w:rsid w:val="009C56AD"/>
    <w:rsid w:val="009C7948"/>
    <w:rsid w:val="009C7DDE"/>
    <w:rsid w:val="009D0523"/>
    <w:rsid w:val="009D15EB"/>
    <w:rsid w:val="009D2188"/>
    <w:rsid w:val="009D26EB"/>
    <w:rsid w:val="009D2A4E"/>
    <w:rsid w:val="009D2FFC"/>
    <w:rsid w:val="009D392F"/>
    <w:rsid w:val="009D6EF1"/>
    <w:rsid w:val="009D7106"/>
    <w:rsid w:val="009D72AF"/>
    <w:rsid w:val="009D7C18"/>
    <w:rsid w:val="009D7C65"/>
    <w:rsid w:val="009E1921"/>
    <w:rsid w:val="009E2F2B"/>
    <w:rsid w:val="009E38F5"/>
    <w:rsid w:val="009E3CD3"/>
    <w:rsid w:val="009E418A"/>
    <w:rsid w:val="009E423D"/>
    <w:rsid w:val="009E4CAB"/>
    <w:rsid w:val="009E5241"/>
    <w:rsid w:val="009E67D6"/>
    <w:rsid w:val="009E6CF5"/>
    <w:rsid w:val="009E7195"/>
    <w:rsid w:val="009E74F1"/>
    <w:rsid w:val="009E757C"/>
    <w:rsid w:val="009F09E2"/>
    <w:rsid w:val="009F2E6E"/>
    <w:rsid w:val="009F4C2E"/>
    <w:rsid w:val="009F5972"/>
    <w:rsid w:val="009F5D9E"/>
    <w:rsid w:val="009F6A6B"/>
    <w:rsid w:val="009F7831"/>
    <w:rsid w:val="009F7E8D"/>
    <w:rsid w:val="00A0095B"/>
    <w:rsid w:val="00A01E6B"/>
    <w:rsid w:val="00A01F80"/>
    <w:rsid w:val="00A02571"/>
    <w:rsid w:val="00A04073"/>
    <w:rsid w:val="00A049F4"/>
    <w:rsid w:val="00A04FB3"/>
    <w:rsid w:val="00A05A46"/>
    <w:rsid w:val="00A05F34"/>
    <w:rsid w:val="00A06098"/>
    <w:rsid w:val="00A06C7B"/>
    <w:rsid w:val="00A10D39"/>
    <w:rsid w:val="00A10E10"/>
    <w:rsid w:val="00A1114F"/>
    <w:rsid w:val="00A1216B"/>
    <w:rsid w:val="00A126D0"/>
    <w:rsid w:val="00A13272"/>
    <w:rsid w:val="00A132B3"/>
    <w:rsid w:val="00A13A41"/>
    <w:rsid w:val="00A13A62"/>
    <w:rsid w:val="00A14390"/>
    <w:rsid w:val="00A15005"/>
    <w:rsid w:val="00A159AA"/>
    <w:rsid w:val="00A15A50"/>
    <w:rsid w:val="00A15CA6"/>
    <w:rsid w:val="00A16C4B"/>
    <w:rsid w:val="00A17A57"/>
    <w:rsid w:val="00A17BFB"/>
    <w:rsid w:val="00A212A5"/>
    <w:rsid w:val="00A21DD9"/>
    <w:rsid w:val="00A228C4"/>
    <w:rsid w:val="00A230C0"/>
    <w:rsid w:val="00A230E3"/>
    <w:rsid w:val="00A2320F"/>
    <w:rsid w:val="00A23F85"/>
    <w:rsid w:val="00A2400B"/>
    <w:rsid w:val="00A2442F"/>
    <w:rsid w:val="00A24D35"/>
    <w:rsid w:val="00A253BC"/>
    <w:rsid w:val="00A25E40"/>
    <w:rsid w:val="00A2656D"/>
    <w:rsid w:val="00A2668C"/>
    <w:rsid w:val="00A2668F"/>
    <w:rsid w:val="00A26C23"/>
    <w:rsid w:val="00A26EDF"/>
    <w:rsid w:val="00A277BA"/>
    <w:rsid w:val="00A27C00"/>
    <w:rsid w:val="00A27DFC"/>
    <w:rsid w:val="00A3037A"/>
    <w:rsid w:val="00A30A66"/>
    <w:rsid w:val="00A3127F"/>
    <w:rsid w:val="00A314B7"/>
    <w:rsid w:val="00A324F8"/>
    <w:rsid w:val="00A331D1"/>
    <w:rsid w:val="00A33F79"/>
    <w:rsid w:val="00A3424B"/>
    <w:rsid w:val="00A346D0"/>
    <w:rsid w:val="00A3475D"/>
    <w:rsid w:val="00A34B5D"/>
    <w:rsid w:val="00A34CB6"/>
    <w:rsid w:val="00A357F0"/>
    <w:rsid w:val="00A37710"/>
    <w:rsid w:val="00A4081F"/>
    <w:rsid w:val="00A40BDE"/>
    <w:rsid w:val="00A40D17"/>
    <w:rsid w:val="00A42853"/>
    <w:rsid w:val="00A4313E"/>
    <w:rsid w:val="00A4390F"/>
    <w:rsid w:val="00A44AA4"/>
    <w:rsid w:val="00A45563"/>
    <w:rsid w:val="00A455E2"/>
    <w:rsid w:val="00A4574A"/>
    <w:rsid w:val="00A462B5"/>
    <w:rsid w:val="00A46554"/>
    <w:rsid w:val="00A47635"/>
    <w:rsid w:val="00A47912"/>
    <w:rsid w:val="00A47AB5"/>
    <w:rsid w:val="00A50086"/>
    <w:rsid w:val="00A50EE0"/>
    <w:rsid w:val="00A536F2"/>
    <w:rsid w:val="00A54209"/>
    <w:rsid w:val="00A542F4"/>
    <w:rsid w:val="00A54702"/>
    <w:rsid w:val="00A54A60"/>
    <w:rsid w:val="00A54DA0"/>
    <w:rsid w:val="00A5522D"/>
    <w:rsid w:val="00A5633D"/>
    <w:rsid w:val="00A56CBA"/>
    <w:rsid w:val="00A572E3"/>
    <w:rsid w:val="00A57392"/>
    <w:rsid w:val="00A60B56"/>
    <w:rsid w:val="00A61C7F"/>
    <w:rsid w:val="00A61F24"/>
    <w:rsid w:val="00A626C1"/>
    <w:rsid w:val="00A628D2"/>
    <w:rsid w:val="00A63FBB"/>
    <w:rsid w:val="00A6611C"/>
    <w:rsid w:val="00A707B6"/>
    <w:rsid w:val="00A71466"/>
    <w:rsid w:val="00A7147F"/>
    <w:rsid w:val="00A722AF"/>
    <w:rsid w:val="00A72595"/>
    <w:rsid w:val="00A73540"/>
    <w:rsid w:val="00A735A1"/>
    <w:rsid w:val="00A74096"/>
    <w:rsid w:val="00A74DDB"/>
    <w:rsid w:val="00A75883"/>
    <w:rsid w:val="00A75AD5"/>
    <w:rsid w:val="00A76186"/>
    <w:rsid w:val="00A77A12"/>
    <w:rsid w:val="00A77D13"/>
    <w:rsid w:val="00A77FEF"/>
    <w:rsid w:val="00A80C47"/>
    <w:rsid w:val="00A810B6"/>
    <w:rsid w:val="00A81248"/>
    <w:rsid w:val="00A8211F"/>
    <w:rsid w:val="00A8245A"/>
    <w:rsid w:val="00A82B60"/>
    <w:rsid w:val="00A83F44"/>
    <w:rsid w:val="00A84AB0"/>
    <w:rsid w:val="00A85A2D"/>
    <w:rsid w:val="00A86297"/>
    <w:rsid w:val="00A865AC"/>
    <w:rsid w:val="00A86D9A"/>
    <w:rsid w:val="00A878AC"/>
    <w:rsid w:val="00A908A3"/>
    <w:rsid w:val="00A909D9"/>
    <w:rsid w:val="00A90B86"/>
    <w:rsid w:val="00A91388"/>
    <w:rsid w:val="00A91B05"/>
    <w:rsid w:val="00A9243D"/>
    <w:rsid w:val="00A93680"/>
    <w:rsid w:val="00A93EB8"/>
    <w:rsid w:val="00A93F6F"/>
    <w:rsid w:val="00A94870"/>
    <w:rsid w:val="00A94B95"/>
    <w:rsid w:val="00A95A57"/>
    <w:rsid w:val="00A95AB3"/>
    <w:rsid w:val="00A95BD3"/>
    <w:rsid w:val="00A970C9"/>
    <w:rsid w:val="00A97E2C"/>
    <w:rsid w:val="00A97FF2"/>
    <w:rsid w:val="00AA00FE"/>
    <w:rsid w:val="00AA0C48"/>
    <w:rsid w:val="00AA0EDD"/>
    <w:rsid w:val="00AA2F1F"/>
    <w:rsid w:val="00AA3742"/>
    <w:rsid w:val="00AA4543"/>
    <w:rsid w:val="00AA493F"/>
    <w:rsid w:val="00AA5345"/>
    <w:rsid w:val="00AA5922"/>
    <w:rsid w:val="00AA6E51"/>
    <w:rsid w:val="00AB0122"/>
    <w:rsid w:val="00AB1CD6"/>
    <w:rsid w:val="00AB253C"/>
    <w:rsid w:val="00AB2BBB"/>
    <w:rsid w:val="00AB3342"/>
    <w:rsid w:val="00AB3D50"/>
    <w:rsid w:val="00AB3EC0"/>
    <w:rsid w:val="00AB466E"/>
    <w:rsid w:val="00AB51BB"/>
    <w:rsid w:val="00AB6433"/>
    <w:rsid w:val="00AB64CE"/>
    <w:rsid w:val="00AB6970"/>
    <w:rsid w:val="00AB723D"/>
    <w:rsid w:val="00AB7466"/>
    <w:rsid w:val="00AC0B75"/>
    <w:rsid w:val="00AC200D"/>
    <w:rsid w:val="00AC2623"/>
    <w:rsid w:val="00AC2CE4"/>
    <w:rsid w:val="00AC4034"/>
    <w:rsid w:val="00AC405D"/>
    <w:rsid w:val="00AC42E5"/>
    <w:rsid w:val="00AC46D3"/>
    <w:rsid w:val="00AC5C47"/>
    <w:rsid w:val="00AC7FE2"/>
    <w:rsid w:val="00AD0D11"/>
    <w:rsid w:val="00AD0EAD"/>
    <w:rsid w:val="00AD119A"/>
    <w:rsid w:val="00AD1E5E"/>
    <w:rsid w:val="00AD2110"/>
    <w:rsid w:val="00AD284F"/>
    <w:rsid w:val="00AD2E59"/>
    <w:rsid w:val="00AD3522"/>
    <w:rsid w:val="00AD55C8"/>
    <w:rsid w:val="00AD59DC"/>
    <w:rsid w:val="00AD5EDB"/>
    <w:rsid w:val="00AD6E80"/>
    <w:rsid w:val="00AD7A71"/>
    <w:rsid w:val="00AE0591"/>
    <w:rsid w:val="00AE0BCA"/>
    <w:rsid w:val="00AE12E6"/>
    <w:rsid w:val="00AE26D1"/>
    <w:rsid w:val="00AE2700"/>
    <w:rsid w:val="00AE30D6"/>
    <w:rsid w:val="00AE3417"/>
    <w:rsid w:val="00AE3975"/>
    <w:rsid w:val="00AE44C8"/>
    <w:rsid w:val="00AE47CB"/>
    <w:rsid w:val="00AE4E49"/>
    <w:rsid w:val="00AE5BEA"/>
    <w:rsid w:val="00AE5CC1"/>
    <w:rsid w:val="00AE6FBF"/>
    <w:rsid w:val="00AE7431"/>
    <w:rsid w:val="00AE7CD3"/>
    <w:rsid w:val="00AF0134"/>
    <w:rsid w:val="00AF174E"/>
    <w:rsid w:val="00AF2008"/>
    <w:rsid w:val="00AF293A"/>
    <w:rsid w:val="00AF2FA9"/>
    <w:rsid w:val="00AF43CE"/>
    <w:rsid w:val="00AF4668"/>
    <w:rsid w:val="00AF5408"/>
    <w:rsid w:val="00AF570D"/>
    <w:rsid w:val="00AF5B94"/>
    <w:rsid w:val="00AF660A"/>
    <w:rsid w:val="00AF6649"/>
    <w:rsid w:val="00AF77EB"/>
    <w:rsid w:val="00B004ED"/>
    <w:rsid w:val="00B01053"/>
    <w:rsid w:val="00B047CA"/>
    <w:rsid w:val="00B047DF"/>
    <w:rsid w:val="00B04B96"/>
    <w:rsid w:val="00B05C9A"/>
    <w:rsid w:val="00B07EC4"/>
    <w:rsid w:val="00B10165"/>
    <w:rsid w:val="00B10791"/>
    <w:rsid w:val="00B10E10"/>
    <w:rsid w:val="00B11ACA"/>
    <w:rsid w:val="00B11BE6"/>
    <w:rsid w:val="00B13206"/>
    <w:rsid w:val="00B1458A"/>
    <w:rsid w:val="00B149FE"/>
    <w:rsid w:val="00B14B18"/>
    <w:rsid w:val="00B14F6E"/>
    <w:rsid w:val="00B15119"/>
    <w:rsid w:val="00B15A15"/>
    <w:rsid w:val="00B15A29"/>
    <w:rsid w:val="00B16479"/>
    <w:rsid w:val="00B16D30"/>
    <w:rsid w:val="00B16F5E"/>
    <w:rsid w:val="00B17551"/>
    <w:rsid w:val="00B179B7"/>
    <w:rsid w:val="00B20016"/>
    <w:rsid w:val="00B2109D"/>
    <w:rsid w:val="00B21938"/>
    <w:rsid w:val="00B22FFD"/>
    <w:rsid w:val="00B24677"/>
    <w:rsid w:val="00B248F6"/>
    <w:rsid w:val="00B25396"/>
    <w:rsid w:val="00B25795"/>
    <w:rsid w:val="00B25F54"/>
    <w:rsid w:val="00B26389"/>
    <w:rsid w:val="00B26711"/>
    <w:rsid w:val="00B26A19"/>
    <w:rsid w:val="00B27EDA"/>
    <w:rsid w:val="00B30061"/>
    <w:rsid w:val="00B305F9"/>
    <w:rsid w:val="00B30EBC"/>
    <w:rsid w:val="00B31819"/>
    <w:rsid w:val="00B323E7"/>
    <w:rsid w:val="00B33A21"/>
    <w:rsid w:val="00B3512F"/>
    <w:rsid w:val="00B36658"/>
    <w:rsid w:val="00B366D8"/>
    <w:rsid w:val="00B36B04"/>
    <w:rsid w:val="00B36D64"/>
    <w:rsid w:val="00B375C1"/>
    <w:rsid w:val="00B37E82"/>
    <w:rsid w:val="00B407A7"/>
    <w:rsid w:val="00B40E20"/>
    <w:rsid w:val="00B43479"/>
    <w:rsid w:val="00B43489"/>
    <w:rsid w:val="00B4401B"/>
    <w:rsid w:val="00B4421B"/>
    <w:rsid w:val="00B44F17"/>
    <w:rsid w:val="00B44FF9"/>
    <w:rsid w:val="00B452CF"/>
    <w:rsid w:val="00B47BA9"/>
    <w:rsid w:val="00B5094E"/>
    <w:rsid w:val="00B53523"/>
    <w:rsid w:val="00B546BA"/>
    <w:rsid w:val="00B560BD"/>
    <w:rsid w:val="00B56F01"/>
    <w:rsid w:val="00B57235"/>
    <w:rsid w:val="00B579F5"/>
    <w:rsid w:val="00B606C4"/>
    <w:rsid w:val="00B6074A"/>
    <w:rsid w:val="00B614DF"/>
    <w:rsid w:val="00B634FC"/>
    <w:rsid w:val="00B63620"/>
    <w:rsid w:val="00B63950"/>
    <w:rsid w:val="00B642D1"/>
    <w:rsid w:val="00B64982"/>
    <w:rsid w:val="00B65186"/>
    <w:rsid w:val="00B656E1"/>
    <w:rsid w:val="00B65F62"/>
    <w:rsid w:val="00B66D1D"/>
    <w:rsid w:val="00B66D21"/>
    <w:rsid w:val="00B67755"/>
    <w:rsid w:val="00B67892"/>
    <w:rsid w:val="00B721E1"/>
    <w:rsid w:val="00B724D3"/>
    <w:rsid w:val="00B741AC"/>
    <w:rsid w:val="00B745B0"/>
    <w:rsid w:val="00B752B9"/>
    <w:rsid w:val="00B7542E"/>
    <w:rsid w:val="00B75765"/>
    <w:rsid w:val="00B766A4"/>
    <w:rsid w:val="00B76CE7"/>
    <w:rsid w:val="00B77A54"/>
    <w:rsid w:val="00B80184"/>
    <w:rsid w:val="00B804D8"/>
    <w:rsid w:val="00B814F4"/>
    <w:rsid w:val="00B81801"/>
    <w:rsid w:val="00B84A56"/>
    <w:rsid w:val="00B84F75"/>
    <w:rsid w:val="00B8526F"/>
    <w:rsid w:val="00B8703A"/>
    <w:rsid w:val="00B91846"/>
    <w:rsid w:val="00B91959"/>
    <w:rsid w:val="00B92120"/>
    <w:rsid w:val="00B924EB"/>
    <w:rsid w:val="00B935E2"/>
    <w:rsid w:val="00B9400F"/>
    <w:rsid w:val="00B94D92"/>
    <w:rsid w:val="00B956A2"/>
    <w:rsid w:val="00B959ED"/>
    <w:rsid w:val="00B95EB4"/>
    <w:rsid w:val="00B9674F"/>
    <w:rsid w:val="00B96C0B"/>
    <w:rsid w:val="00BA14A3"/>
    <w:rsid w:val="00BA1A67"/>
    <w:rsid w:val="00BA2D6F"/>
    <w:rsid w:val="00BA33B3"/>
    <w:rsid w:val="00BA3830"/>
    <w:rsid w:val="00BA3EB6"/>
    <w:rsid w:val="00BA410B"/>
    <w:rsid w:val="00BA476B"/>
    <w:rsid w:val="00BA5183"/>
    <w:rsid w:val="00BA6A0A"/>
    <w:rsid w:val="00BA7867"/>
    <w:rsid w:val="00BB05F6"/>
    <w:rsid w:val="00BB0F32"/>
    <w:rsid w:val="00BB0FE3"/>
    <w:rsid w:val="00BB2A24"/>
    <w:rsid w:val="00BB3077"/>
    <w:rsid w:val="00BB47D0"/>
    <w:rsid w:val="00BB4852"/>
    <w:rsid w:val="00BB4A7E"/>
    <w:rsid w:val="00BB4FBD"/>
    <w:rsid w:val="00BB6595"/>
    <w:rsid w:val="00BB7C14"/>
    <w:rsid w:val="00BB7CA1"/>
    <w:rsid w:val="00BB7F1B"/>
    <w:rsid w:val="00BC057A"/>
    <w:rsid w:val="00BC10C1"/>
    <w:rsid w:val="00BC27EE"/>
    <w:rsid w:val="00BC3258"/>
    <w:rsid w:val="00BC3693"/>
    <w:rsid w:val="00BC466C"/>
    <w:rsid w:val="00BC4A72"/>
    <w:rsid w:val="00BC4C82"/>
    <w:rsid w:val="00BC5C8B"/>
    <w:rsid w:val="00BC631D"/>
    <w:rsid w:val="00BC71F7"/>
    <w:rsid w:val="00BD1B63"/>
    <w:rsid w:val="00BD25C9"/>
    <w:rsid w:val="00BD26F0"/>
    <w:rsid w:val="00BD3B6F"/>
    <w:rsid w:val="00BD4CE2"/>
    <w:rsid w:val="00BD5670"/>
    <w:rsid w:val="00BD61DF"/>
    <w:rsid w:val="00BD6D96"/>
    <w:rsid w:val="00BD7091"/>
    <w:rsid w:val="00BD7F5B"/>
    <w:rsid w:val="00BE12F3"/>
    <w:rsid w:val="00BE23DC"/>
    <w:rsid w:val="00BE246E"/>
    <w:rsid w:val="00BE262A"/>
    <w:rsid w:val="00BE6B44"/>
    <w:rsid w:val="00BE6C9C"/>
    <w:rsid w:val="00BE7398"/>
    <w:rsid w:val="00BE7681"/>
    <w:rsid w:val="00BE7704"/>
    <w:rsid w:val="00BE7DAE"/>
    <w:rsid w:val="00BF163B"/>
    <w:rsid w:val="00BF1D73"/>
    <w:rsid w:val="00BF3205"/>
    <w:rsid w:val="00BF359E"/>
    <w:rsid w:val="00BF37D1"/>
    <w:rsid w:val="00BF4CE3"/>
    <w:rsid w:val="00BF4DBE"/>
    <w:rsid w:val="00BF53D6"/>
    <w:rsid w:val="00BF6C18"/>
    <w:rsid w:val="00BF7A8C"/>
    <w:rsid w:val="00C007BE"/>
    <w:rsid w:val="00C01068"/>
    <w:rsid w:val="00C014C2"/>
    <w:rsid w:val="00C026FB"/>
    <w:rsid w:val="00C0346D"/>
    <w:rsid w:val="00C034C9"/>
    <w:rsid w:val="00C05CE9"/>
    <w:rsid w:val="00C0697E"/>
    <w:rsid w:val="00C0702C"/>
    <w:rsid w:val="00C07252"/>
    <w:rsid w:val="00C107C7"/>
    <w:rsid w:val="00C1169D"/>
    <w:rsid w:val="00C12252"/>
    <w:rsid w:val="00C1369C"/>
    <w:rsid w:val="00C13C91"/>
    <w:rsid w:val="00C13D76"/>
    <w:rsid w:val="00C146C8"/>
    <w:rsid w:val="00C15D20"/>
    <w:rsid w:val="00C165CB"/>
    <w:rsid w:val="00C1691D"/>
    <w:rsid w:val="00C16D08"/>
    <w:rsid w:val="00C174C2"/>
    <w:rsid w:val="00C179D2"/>
    <w:rsid w:val="00C17B87"/>
    <w:rsid w:val="00C20524"/>
    <w:rsid w:val="00C217D8"/>
    <w:rsid w:val="00C22D2C"/>
    <w:rsid w:val="00C2422A"/>
    <w:rsid w:val="00C25012"/>
    <w:rsid w:val="00C2523F"/>
    <w:rsid w:val="00C252AC"/>
    <w:rsid w:val="00C25388"/>
    <w:rsid w:val="00C27613"/>
    <w:rsid w:val="00C27D9E"/>
    <w:rsid w:val="00C3510E"/>
    <w:rsid w:val="00C35946"/>
    <w:rsid w:val="00C361FE"/>
    <w:rsid w:val="00C364AE"/>
    <w:rsid w:val="00C368BD"/>
    <w:rsid w:val="00C36E86"/>
    <w:rsid w:val="00C371EA"/>
    <w:rsid w:val="00C37B10"/>
    <w:rsid w:val="00C37DB1"/>
    <w:rsid w:val="00C401C4"/>
    <w:rsid w:val="00C41519"/>
    <w:rsid w:val="00C42C5B"/>
    <w:rsid w:val="00C43080"/>
    <w:rsid w:val="00C4389D"/>
    <w:rsid w:val="00C43B04"/>
    <w:rsid w:val="00C45A31"/>
    <w:rsid w:val="00C45E4D"/>
    <w:rsid w:val="00C4710E"/>
    <w:rsid w:val="00C476B1"/>
    <w:rsid w:val="00C529EF"/>
    <w:rsid w:val="00C53786"/>
    <w:rsid w:val="00C54E7A"/>
    <w:rsid w:val="00C557CE"/>
    <w:rsid w:val="00C565C4"/>
    <w:rsid w:val="00C56665"/>
    <w:rsid w:val="00C56DAC"/>
    <w:rsid w:val="00C5783B"/>
    <w:rsid w:val="00C57CFB"/>
    <w:rsid w:val="00C60C34"/>
    <w:rsid w:val="00C60D9E"/>
    <w:rsid w:val="00C60EDA"/>
    <w:rsid w:val="00C61093"/>
    <w:rsid w:val="00C6188A"/>
    <w:rsid w:val="00C621CF"/>
    <w:rsid w:val="00C62A4B"/>
    <w:rsid w:val="00C632D8"/>
    <w:rsid w:val="00C63C17"/>
    <w:rsid w:val="00C6468D"/>
    <w:rsid w:val="00C65CD9"/>
    <w:rsid w:val="00C65FE1"/>
    <w:rsid w:val="00C661DB"/>
    <w:rsid w:val="00C66680"/>
    <w:rsid w:val="00C66910"/>
    <w:rsid w:val="00C675BF"/>
    <w:rsid w:val="00C6775F"/>
    <w:rsid w:val="00C67C41"/>
    <w:rsid w:val="00C67F67"/>
    <w:rsid w:val="00C70049"/>
    <w:rsid w:val="00C70623"/>
    <w:rsid w:val="00C708FE"/>
    <w:rsid w:val="00C71AE5"/>
    <w:rsid w:val="00C7223A"/>
    <w:rsid w:val="00C73A8D"/>
    <w:rsid w:val="00C7428C"/>
    <w:rsid w:val="00C74847"/>
    <w:rsid w:val="00C74DED"/>
    <w:rsid w:val="00C7510D"/>
    <w:rsid w:val="00C75DB7"/>
    <w:rsid w:val="00C77EFF"/>
    <w:rsid w:val="00C80150"/>
    <w:rsid w:val="00C80CC8"/>
    <w:rsid w:val="00C80EF8"/>
    <w:rsid w:val="00C81B09"/>
    <w:rsid w:val="00C8258B"/>
    <w:rsid w:val="00C8314E"/>
    <w:rsid w:val="00C83508"/>
    <w:rsid w:val="00C83773"/>
    <w:rsid w:val="00C83DD4"/>
    <w:rsid w:val="00C83F6E"/>
    <w:rsid w:val="00C8638D"/>
    <w:rsid w:val="00C873DF"/>
    <w:rsid w:val="00C87852"/>
    <w:rsid w:val="00C87F7F"/>
    <w:rsid w:val="00C90598"/>
    <w:rsid w:val="00C9247D"/>
    <w:rsid w:val="00C93693"/>
    <w:rsid w:val="00C93D03"/>
    <w:rsid w:val="00C94280"/>
    <w:rsid w:val="00C95B49"/>
    <w:rsid w:val="00C95EC5"/>
    <w:rsid w:val="00CA0126"/>
    <w:rsid w:val="00CA06D9"/>
    <w:rsid w:val="00CA0BA9"/>
    <w:rsid w:val="00CA2454"/>
    <w:rsid w:val="00CA2DB5"/>
    <w:rsid w:val="00CA3C7B"/>
    <w:rsid w:val="00CA40C4"/>
    <w:rsid w:val="00CA4AE5"/>
    <w:rsid w:val="00CA4EF3"/>
    <w:rsid w:val="00CA51AB"/>
    <w:rsid w:val="00CA5225"/>
    <w:rsid w:val="00CA6EA3"/>
    <w:rsid w:val="00CA78EE"/>
    <w:rsid w:val="00CB1830"/>
    <w:rsid w:val="00CB1E22"/>
    <w:rsid w:val="00CB25B3"/>
    <w:rsid w:val="00CB2DF8"/>
    <w:rsid w:val="00CB660F"/>
    <w:rsid w:val="00CB683E"/>
    <w:rsid w:val="00CB6BAB"/>
    <w:rsid w:val="00CB70F3"/>
    <w:rsid w:val="00CB74B3"/>
    <w:rsid w:val="00CC03EF"/>
    <w:rsid w:val="00CC0B6D"/>
    <w:rsid w:val="00CC192E"/>
    <w:rsid w:val="00CC1DCA"/>
    <w:rsid w:val="00CC1E9C"/>
    <w:rsid w:val="00CC2E23"/>
    <w:rsid w:val="00CC3AC4"/>
    <w:rsid w:val="00CC5111"/>
    <w:rsid w:val="00CC5889"/>
    <w:rsid w:val="00CC6A81"/>
    <w:rsid w:val="00CC7F2A"/>
    <w:rsid w:val="00CD03CF"/>
    <w:rsid w:val="00CD0997"/>
    <w:rsid w:val="00CD0F62"/>
    <w:rsid w:val="00CD2908"/>
    <w:rsid w:val="00CD2A96"/>
    <w:rsid w:val="00CD32FE"/>
    <w:rsid w:val="00CD5C29"/>
    <w:rsid w:val="00CD67D1"/>
    <w:rsid w:val="00CD727B"/>
    <w:rsid w:val="00CE0E6D"/>
    <w:rsid w:val="00CE192B"/>
    <w:rsid w:val="00CE2475"/>
    <w:rsid w:val="00CE3C33"/>
    <w:rsid w:val="00CE3CC5"/>
    <w:rsid w:val="00CE45EB"/>
    <w:rsid w:val="00CE496C"/>
    <w:rsid w:val="00CE4CEA"/>
    <w:rsid w:val="00CE5CED"/>
    <w:rsid w:val="00CE5DD4"/>
    <w:rsid w:val="00CE71A7"/>
    <w:rsid w:val="00CE754B"/>
    <w:rsid w:val="00CE79E3"/>
    <w:rsid w:val="00CF0AA1"/>
    <w:rsid w:val="00CF0B3C"/>
    <w:rsid w:val="00CF118C"/>
    <w:rsid w:val="00CF2B77"/>
    <w:rsid w:val="00CF2BEE"/>
    <w:rsid w:val="00CF31B9"/>
    <w:rsid w:val="00CF459C"/>
    <w:rsid w:val="00CF4808"/>
    <w:rsid w:val="00CF490A"/>
    <w:rsid w:val="00CF4CF8"/>
    <w:rsid w:val="00CF5905"/>
    <w:rsid w:val="00CF5A4D"/>
    <w:rsid w:val="00CF7694"/>
    <w:rsid w:val="00D002D1"/>
    <w:rsid w:val="00D00C76"/>
    <w:rsid w:val="00D00FA5"/>
    <w:rsid w:val="00D01A7C"/>
    <w:rsid w:val="00D0219A"/>
    <w:rsid w:val="00D0280B"/>
    <w:rsid w:val="00D0318E"/>
    <w:rsid w:val="00D03AB3"/>
    <w:rsid w:val="00D04BF3"/>
    <w:rsid w:val="00D056A7"/>
    <w:rsid w:val="00D05776"/>
    <w:rsid w:val="00D05E35"/>
    <w:rsid w:val="00D063B1"/>
    <w:rsid w:val="00D06450"/>
    <w:rsid w:val="00D07B38"/>
    <w:rsid w:val="00D07E4E"/>
    <w:rsid w:val="00D10B08"/>
    <w:rsid w:val="00D1322B"/>
    <w:rsid w:val="00D1551B"/>
    <w:rsid w:val="00D15FB6"/>
    <w:rsid w:val="00D1607B"/>
    <w:rsid w:val="00D165F0"/>
    <w:rsid w:val="00D16893"/>
    <w:rsid w:val="00D2017A"/>
    <w:rsid w:val="00D2075A"/>
    <w:rsid w:val="00D2096B"/>
    <w:rsid w:val="00D216DA"/>
    <w:rsid w:val="00D21B96"/>
    <w:rsid w:val="00D21DE1"/>
    <w:rsid w:val="00D22785"/>
    <w:rsid w:val="00D22BA2"/>
    <w:rsid w:val="00D23092"/>
    <w:rsid w:val="00D23D9F"/>
    <w:rsid w:val="00D25EDE"/>
    <w:rsid w:val="00D2607D"/>
    <w:rsid w:val="00D26727"/>
    <w:rsid w:val="00D26D6B"/>
    <w:rsid w:val="00D27C9D"/>
    <w:rsid w:val="00D27F12"/>
    <w:rsid w:val="00D309D4"/>
    <w:rsid w:val="00D3160A"/>
    <w:rsid w:val="00D318A8"/>
    <w:rsid w:val="00D33086"/>
    <w:rsid w:val="00D3379E"/>
    <w:rsid w:val="00D33D9E"/>
    <w:rsid w:val="00D34506"/>
    <w:rsid w:val="00D34CB7"/>
    <w:rsid w:val="00D356C4"/>
    <w:rsid w:val="00D35F63"/>
    <w:rsid w:val="00D35FCA"/>
    <w:rsid w:val="00D374F5"/>
    <w:rsid w:val="00D40584"/>
    <w:rsid w:val="00D40D88"/>
    <w:rsid w:val="00D40DC7"/>
    <w:rsid w:val="00D419C6"/>
    <w:rsid w:val="00D4261D"/>
    <w:rsid w:val="00D4284B"/>
    <w:rsid w:val="00D42E0D"/>
    <w:rsid w:val="00D43D4E"/>
    <w:rsid w:val="00D43FF5"/>
    <w:rsid w:val="00D44504"/>
    <w:rsid w:val="00D445E7"/>
    <w:rsid w:val="00D4462D"/>
    <w:rsid w:val="00D4559E"/>
    <w:rsid w:val="00D455DD"/>
    <w:rsid w:val="00D45EEC"/>
    <w:rsid w:val="00D46977"/>
    <w:rsid w:val="00D50B13"/>
    <w:rsid w:val="00D50CB1"/>
    <w:rsid w:val="00D5159C"/>
    <w:rsid w:val="00D51BD3"/>
    <w:rsid w:val="00D52493"/>
    <w:rsid w:val="00D5259D"/>
    <w:rsid w:val="00D526A9"/>
    <w:rsid w:val="00D52E6E"/>
    <w:rsid w:val="00D52F2F"/>
    <w:rsid w:val="00D548D8"/>
    <w:rsid w:val="00D5543C"/>
    <w:rsid w:val="00D600B9"/>
    <w:rsid w:val="00D621B6"/>
    <w:rsid w:val="00D62632"/>
    <w:rsid w:val="00D62871"/>
    <w:rsid w:val="00D62D3D"/>
    <w:rsid w:val="00D62D8C"/>
    <w:rsid w:val="00D63240"/>
    <w:rsid w:val="00D63E59"/>
    <w:rsid w:val="00D64844"/>
    <w:rsid w:val="00D6577B"/>
    <w:rsid w:val="00D6606C"/>
    <w:rsid w:val="00D667BA"/>
    <w:rsid w:val="00D67692"/>
    <w:rsid w:val="00D67AC3"/>
    <w:rsid w:val="00D711A4"/>
    <w:rsid w:val="00D73092"/>
    <w:rsid w:val="00D73FCB"/>
    <w:rsid w:val="00D747ED"/>
    <w:rsid w:val="00D74A0D"/>
    <w:rsid w:val="00D74BEC"/>
    <w:rsid w:val="00D75372"/>
    <w:rsid w:val="00D762CC"/>
    <w:rsid w:val="00D767B5"/>
    <w:rsid w:val="00D776F0"/>
    <w:rsid w:val="00D7792E"/>
    <w:rsid w:val="00D77B08"/>
    <w:rsid w:val="00D800F0"/>
    <w:rsid w:val="00D8025E"/>
    <w:rsid w:val="00D8038E"/>
    <w:rsid w:val="00D81B67"/>
    <w:rsid w:val="00D81F1E"/>
    <w:rsid w:val="00D82127"/>
    <w:rsid w:val="00D82592"/>
    <w:rsid w:val="00D82907"/>
    <w:rsid w:val="00D839EE"/>
    <w:rsid w:val="00D840EC"/>
    <w:rsid w:val="00D856C9"/>
    <w:rsid w:val="00D86A26"/>
    <w:rsid w:val="00D87D67"/>
    <w:rsid w:val="00D91111"/>
    <w:rsid w:val="00D934F7"/>
    <w:rsid w:val="00D9352D"/>
    <w:rsid w:val="00D93E8E"/>
    <w:rsid w:val="00D94249"/>
    <w:rsid w:val="00D95CE5"/>
    <w:rsid w:val="00D962EA"/>
    <w:rsid w:val="00D9630D"/>
    <w:rsid w:val="00DA00E5"/>
    <w:rsid w:val="00DA132A"/>
    <w:rsid w:val="00DA293A"/>
    <w:rsid w:val="00DA2B1F"/>
    <w:rsid w:val="00DA40B3"/>
    <w:rsid w:val="00DA414F"/>
    <w:rsid w:val="00DA4340"/>
    <w:rsid w:val="00DA4360"/>
    <w:rsid w:val="00DA477F"/>
    <w:rsid w:val="00DA487E"/>
    <w:rsid w:val="00DA4A58"/>
    <w:rsid w:val="00DA4B0E"/>
    <w:rsid w:val="00DA4C51"/>
    <w:rsid w:val="00DA4FD0"/>
    <w:rsid w:val="00DA5DA5"/>
    <w:rsid w:val="00DA5E23"/>
    <w:rsid w:val="00DA79CA"/>
    <w:rsid w:val="00DB01A2"/>
    <w:rsid w:val="00DB09F0"/>
    <w:rsid w:val="00DB1DF1"/>
    <w:rsid w:val="00DB2360"/>
    <w:rsid w:val="00DB42C1"/>
    <w:rsid w:val="00DB4751"/>
    <w:rsid w:val="00DB4C13"/>
    <w:rsid w:val="00DB5277"/>
    <w:rsid w:val="00DB6158"/>
    <w:rsid w:val="00DB6A40"/>
    <w:rsid w:val="00DB6AEA"/>
    <w:rsid w:val="00DB6BD0"/>
    <w:rsid w:val="00DB75FF"/>
    <w:rsid w:val="00DB792C"/>
    <w:rsid w:val="00DC005E"/>
    <w:rsid w:val="00DC08DD"/>
    <w:rsid w:val="00DC10D0"/>
    <w:rsid w:val="00DC12D1"/>
    <w:rsid w:val="00DC2B6E"/>
    <w:rsid w:val="00DC2E2A"/>
    <w:rsid w:val="00DC33DE"/>
    <w:rsid w:val="00DC453C"/>
    <w:rsid w:val="00DC4AFE"/>
    <w:rsid w:val="00DC57A8"/>
    <w:rsid w:val="00DC72AB"/>
    <w:rsid w:val="00DD024E"/>
    <w:rsid w:val="00DD029F"/>
    <w:rsid w:val="00DD0AC8"/>
    <w:rsid w:val="00DD0D70"/>
    <w:rsid w:val="00DD1145"/>
    <w:rsid w:val="00DD167F"/>
    <w:rsid w:val="00DD314B"/>
    <w:rsid w:val="00DD3C1F"/>
    <w:rsid w:val="00DD4655"/>
    <w:rsid w:val="00DD53A5"/>
    <w:rsid w:val="00DD585F"/>
    <w:rsid w:val="00DD6E21"/>
    <w:rsid w:val="00DD790A"/>
    <w:rsid w:val="00DE091A"/>
    <w:rsid w:val="00DE10B3"/>
    <w:rsid w:val="00DE13E1"/>
    <w:rsid w:val="00DE2266"/>
    <w:rsid w:val="00DE23B7"/>
    <w:rsid w:val="00DE3BFA"/>
    <w:rsid w:val="00DE3C63"/>
    <w:rsid w:val="00DE53FF"/>
    <w:rsid w:val="00DE55D6"/>
    <w:rsid w:val="00DE5E44"/>
    <w:rsid w:val="00DE67AE"/>
    <w:rsid w:val="00DE77A8"/>
    <w:rsid w:val="00DF0632"/>
    <w:rsid w:val="00DF0E30"/>
    <w:rsid w:val="00DF19D2"/>
    <w:rsid w:val="00DF279A"/>
    <w:rsid w:val="00DF2FD5"/>
    <w:rsid w:val="00DF3357"/>
    <w:rsid w:val="00DF3723"/>
    <w:rsid w:val="00DF3EA5"/>
    <w:rsid w:val="00DF4E48"/>
    <w:rsid w:val="00DF4F44"/>
    <w:rsid w:val="00DF59A1"/>
    <w:rsid w:val="00DF5F28"/>
    <w:rsid w:val="00DF6686"/>
    <w:rsid w:val="00DF6739"/>
    <w:rsid w:val="00DF6A23"/>
    <w:rsid w:val="00DF7A8E"/>
    <w:rsid w:val="00E0085C"/>
    <w:rsid w:val="00E00873"/>
    <w:rsid w:val="00E01125"/>
    <w:rsid w:val="00E01F57"/>
    <w:rsid w:val="00E027D1"/>
    <w:rsid w:val="00E032A1"/>
    <w:rsid w:val="00E03B8A"/>
    <w:rsid w:val="00E03DC5"/>
    <w:rsid w:val="00E03FA1"/>
    <w:rsid w:val="00E040CB"/>
    <w:rsid w:val="00E0477A"/>
    <w:rsid w:val="00E051B7"/>
    <w:rsid w:val="00E055E0"/>
    <w:rsid w:val="00E05AAC"/>
    <w:rsid w:val="00E06AF7"/>
    <w:rsid w:val="00E06DFB"/>
    <w:rsid w:val="00E106B0"/>
    <w:rsid w:val="00E10FDC"/>
    <w:rsid w:val="00E112CB"/>
    <w:rsid w:val="00E11C83"/>
    <w:rsid w:val="00E122DB"/>
    <w:rsid w:val="00E12538"/>
    <w:rsid w:val="00E135A9"/>
    <w:rsid w:val="00E135C5"/>
    <w:rsid w:val="00E13669"/>
    <w:rsid w:val="00E1369B"/>
    <w:rsid w:val="00E1447F"/>
    <w:rsid w:val="00E1469B"/>
    <w:rsid w:val="00E1652E"/>
    <w:rsid w:val="00E168A9"/>
    <w:rsid w:val="00E201AD"/>
    <w:rsid w:val="00E2126B"/>
    <w:rsid w:val="00E217F5"/>
    <w:rsid w:val="00E21D10"/>
    <w:rsid w:val="00E2264F"/>
    <w:rsid w:val="00E22A64"/>
    <w:rsid w:val="00E22A66"/>
    <w:rsid w:val="00E232B1"/>
    <w:rsid w:val="00E24A7D"/>
    <w:rsid w:val="00E25968"/>
    <w:rsid w:val="00E25A7D"/>
    <w:rsid w:val="00E25AED"/>
    <w:rsid w:val="00E262D2"/>
    <w:rsid w:val="00E26B91"/>
    <w:rsid w:val="00E27867"/>
    <w:rsid w:val="00E27A5D"/>
    <w:rsid w:val="00E309CF"/>
    <w:rsid w:val="00E31438"/>
    <w:rsid w:val="00E3239C"/>
    <w:rsid w:val="00E3376D"/>
    <w:rsid w:val="00E34677"/>
    <w:rsid w:val="00E34C94"/>
    <w:rsid w:val="00E34D2B"/>
    <w:rsid w:val="00E35A35"/>
    <w:rsid w:val="00E35D79"/>
    <w:rsid w:val="00E3700A"/>
    <w:rsid w:val="00E37207"/>
    <w:rsid w:val="00E3728A"/>
    <w:rsid w:val="00E37CA7"/>
    <w:rsid w:val="00E37FF1"/>
    <w:rsid w:val="00E405E3"/>
    <w:rsid w:val="00E413B6"/>
    <w:rsid w:val="00E4194F"/>
    <w:rsid w:val="00E42A82"/>
    <w:rsid w:val="00E42D8E"/>
    <w:rsid w:val="00E43D0B"/>
    <w:rsid w:val="00E43F23"/>
    <w:rsid w:val="00E443B1"/>
    <w:rsid w:val="00E45239"/>
    <w:rsid w:val="00E452E5"/>
    <w:rsid w:val="00E47A62"/>
    <w:rsid w:val="00E50524"/>
    <w:rsid w:val="00E5053F"/>
    <w:rsid w:val="00E51F09"/>
    <w:rsid w:val="00E526AF"/>
    <w:rsid w:val="00E526D4"/>
    <w:rsid w:val="00E52CDD"/>
    <w:rsid w:val="00E53067"/>
    <w:rsid w:val="00E541C3"/>
    <w:rsid w:val="00E54416"/>
    <w:rsid w:val="00E5443D"/>
    <w:rsid w:val="00E5544E"/>
    <w:rsid w:val="00E557EE"/>
    <w:rsid w:val="00E55C25"/>
    <w:rsid w:val="00E56953"/>
    <w:rsid w:val="00E609EA"/>
    <w:rsid w:val="00E60D38"/>
    <w:rsid w:val="00E6132B"/>
    <w:rsid w:val="00E6196C"/>
    <w:rsid w:val="00E61C97"/>
    <w:rsid w:val="00E61E7C"/>
    <w:rsid w:val="00E6269C"/>
    <w:rsid w:val="00E633CC"/>
    <w:rsid w:val="00E63D45"/>
    <w:rsid w:val="00E63EAA"/>
    <w:rsid w:val="00E651E0"/>
    <w:rsid w:val="00E65E9F"/>
    <w:rsid w:val="00E66005"/>
    <w:rsid w:val="00E663DB"/>
    <w:rsid w:val="00E70091"/>
    <w:rsid w:val="00E706B2"/>
    <w:rsid w:val="00E70DC2"/>
    <w:rsid w:val="00E70FB6"/>
    <w:rsid w:val="00E71806"/>
    <w:rsid w:val="00E71C54"/>
    <w:rsid w:val="00E723E9"/>
    <w:rsid w:val="00E7326C"/>
    <w:rsid w:val="00E73403"/>
    <w:rsid w:val="00E73D5C"/>
    <w:rsid w:val="00E75592"/>
    <w:rsid w:val="00E80418"/>
    <w:rsid w:val="00E80465"/>
    <w:rsid w:val="00E809C9"/>
    <w:rsid w:val="00E80D82"/>
    <w:rsid w:val="00E81DA7"/>
    <w:rsid w:val="00E82A37"/>
    <w:rsid w:val="00E83955"/>
    <w:rsid w:val="00E85BDC"/>
    <w:rsid w:val="00E85EC3"/>
    <w:rsid w:val="00E9154A"/>
    <w:rsid w:val="00E920CD"/>
    <w:rsid w:val="00E927C8"/>
    <w:rsid w:val="00E92A5F"/>
    <w:rsid w:val="00E9532C"/>
    <w:rsid w:val="00E954AF"/>
    <w:rsid w:val="00E97B93"/>
    <w:rsid w:val="00EA00B2"/>
    <w:rsid w:val="00EA0FA0"/>
    <w:rsid w:val="00EA16E2"/>
    <w:rsid w:val="00EA16F9"/>
    <w:rsid w:val="00EA180E"/>
    <w:rsid w:val="00EA1AA6"/>
    <w:rsid w:val="00EA1AF9"/>
    <w:rsid w:val="00EA2005"/>
    <w:rsid w:val="00EA20FE"/>
    <w:rsid w:val="00EA220F"/>
    <w:rsid w:val="00EA38CA"/>
    <w:rsid w:val="00EA6C90"/>
    <w:rsid w:val="00EA7C57"/>
    <w:rsid w:val="00EA7D38"/>
    <w:rsid w:val="00EB16DE"/>
    <w:rsid w:val="00EB17DD"/>
    <w:rsid w:val="00EB2687"/>
    <w:rsid w:val="00EB2829"/>
    <w:rsid w:val="00EB2938"/>
    <w:rsid w:val="00EB38E1"/>
    <w:rsid w:val="00EB4BA9"/>
    <w:rsid w:val="00EB4C58"/>
    <w:rsid w:val="00EB5494"/>
    <w:rsid w:val="00EB581B"/>
    <w:rsid w:val="00EB73BB"/>
    <w:rsid w:val="00EB7954"/>
    <w:rsid w:val="00EB7D8E"/>
    <w:rsid w:val="00EC168B"/>
    <w:rsid w:val="00EC23E1"/>
    <w:rsid w:val="00EC359D"/>
    <w:rsid w:val="00EC46F1"/>
    <w:rsid w:val="00EC4F54"/>
    <w:rsid w:val="00EC51C6"/>
    <w:rsid w:val="00EC588F"/>
    <w:rsid w:val="00EC5AD4"/>
    <w:rsid w:val="00EC6014"/>
    <w:rsid w:val="00EC77D8"/>
    <w:rsid w:val="00EC7E5C"/>
    <w:rsid w:val="00ED0164"/>
    <w:rsid w:val="00ED0647"/>
    <w:rsid w:val="00ED127D"/>
    <w:rsid w:val="00ED383B"/>
    <w:rsid w:val="00ED52C6"/>
    <w:rsid w:val="00ED56AA"/>
    <w:rsid w:val="00ED5E1D"/>
    <w:rsid w:val="00ED6185"/>
    <w:rsid w:val="00ED7361"/>
    <w:rsid w:val="00ED7840"/>
    <w:rsid w:val="00ED7EE4"/>
    <w:rsid w:val="00EE0367"/>
    <w:rsid w:val="00EE110B"/>
    <w:rsid w:val="00EE1AC8"/>
    <w:rsid w:val="00EE1E92"/>
    <w:rsid w:val="00EE22F9"/>
    <w:rsid w:val="00EE3816"/>
    <w:rsid w:val="00EE3C20"/>
    <w:rsid w:val="00EE4789"/>
    <w:rsid w:val="00EE4AD9"/>
    <w:rsid w:val="00EE6916"/>
    <w:rsid w:val="00EE6D80"/>
    <w:rsid w:val="00EE7409"/>
    <w:rsid w:val="00EE7460"/>
    <w:rsid w:val="00EE7D5E"/>
    <w:rsid w:val="00EF03CB"/>
    <w:rsid w:val="00EF1B0F"/>
    <w:rsid w:val="00EF35BE"/>
    <w:rsid w:val="00EF38D3"/>
    <w:rsid w:val="00EF5A08"/>
    <w:rsid w:val="00EF6472"/>
    <w:rsid w:val="00EF7D12"/>
    <w:rsid w:val="00EF7E81"/>
    <w:rsid w:val="00F0087B"/>
    <w:rsid w:val="00F008E1"/>
    <w:rsid w:val="00F00A8A"/>
    <w:rsid w:val="00F00D9A"/>
    <w:rsid w:val="00F01FAC"/>
    <w:rsid w:val="00F02150"/>
    <w:rsid w:val="00F0256F"/>
    <w:rsid w:val="00F02D7B"/>
    <w:rsid w:val="00F03866"/>
    <w:rsid w:val="00F03A97"/>
    <w:rsid w:val="00F05063"/>
    <w:rsid w:val="00F0562B"/>
    <w:rsid w:val="00F05C22"/>
    <w:rsid w:val="00F06B36"/>
    <w:rsid w:val="00F06C11"/>
    <w:rsid w:val="00F06FA0"/>
    <w:rsid w:val="00F070D1"/>
    <w:rsid w:val="00F07795"/>
    <w:rsid w:val="00F07AC1"/>
    <w:rsid w:val="00F10E9D"/>
    <w:rsid w:val="00F116D5"/>
    <w:rsid w:val="00F125D4"/>
    <w:rsid w:val="00F14845"/>
    <w:rsid w:val="00F14F22"/>
    <w:rsid w:val="00F1522D"/>
    <w:rsid w:val="00F1536A"/>
    <w:rsid w:val="00F16DAC"/>
    <w:rsid w:val="00F20123"/>
    <w:rsid w:val="00F20EF6"/>
    <w:rsid w:val="00F21103"/>
    <w:rsid w:val="00F2197A"/>
    <w:rsid w:val="00F21CFF"/>
    <w:rsid w:val="00F231F6"/>
    <w:rsid w:val="00F2442C"/>
    <w:rsid w:val="00F24EE3"/>
    <w:rsid w:val="00F256A6"/>
    <w:rsid w:val="00F25F8D"/>
    <w:rsid w:val="00F25FB4"/>
    <w:rsid w:val="00F31031"/>
    <w:rsid w:val="00F310E7"/>
    <w:rsid w:val="00F31B16"/>
    <w:rsid w:val="00F320DB"/>
    <w:rsid w:val="00F326F2"/>
    <w:rsid w:val="00F358B7"/>
    <w:rsid w:val="00F35D40"/>
    <w:rsid w:val="00F360C6"/>
    <w:rsid w:val="00F36267"/>
    <w:rsid w:val="00F3665F"/>
    <w:rsid w:val="00F370A0"/>
    <w:rsid w:val="00F4048C"/>
    <w:rsid w:val="00F4124D"/>
    <w:rsid w:val="00F416C6"/>
    <w:rsid w:val="00F42A1D"/>
    <w:rsid w:val="00F42B97"/>
    <w:rsid w:val="00F433B2"/>
    <w:rsid w:val="00F43819"/>
    <w:rsid w:val="00F43DD0"/>
    <w:rsid w:val="00F44674"/>
    <w:rsid w:val="00F449ED"/>
    <w:rsid w:val="00F4527D"/>
    <w:rsid w:val="00F45534"/>
    <w:rsid w:val="00F45583"/>
    <w:rsid w:val="00F45772"/>
    <w:rsid w:val="00F46E81"/>
    <w:rsid w:val="00F47CD6"/>
    <w:rsid w:val="00F5082E"/>
    <w:rsid w:val="00F50B31"/>
    <w:rsid w:val="00F5105E"/>
    <w:rsid w:val="00F513E5"/>
    <w:rsid w:val="00F51622"/>
    <w:rsid w:val="00F529BE"/>
    <w:rsid w:val="00F54264"/>
    <w:rsid w:val="00F55E6C"/>
    <w:rsid w:val="00F567C8"/>
    <w:rsid w:val="00F56D11"/>
    <w:rsid w:val="00F60B45"/>
    <w:rsid w:val="00F62C3F"/>
    <w:rsid w:val="00F6303F"/>
    <w:rsid w:val="00F65976"/>
    <w:rsid w:val="00F65A9D"/>
    <w:rsid w:val="00F670D2"/>
    <w:rsid w:val="00F67C84"/>
    <w:rsid w:val="00F7084F"/>
    <w:rsid w:val="00F71508"/>
    <w:rsid w:val="00F718F8"/>
    <w:rsid w:val="00F71AF4"/>
    <w:rsid w:val="00F721AA"/>
    <w:rsid w:val="00F7280B"/>
    <w:rsid w:val="00F7293A"/>
    <w:rsid w:val="00F7298E"/>
    <w:rsid w:val="00F72B9C"/>
    <w:rsid w:val="00F73951"/>
    <w:rsid w:val="00F7401D"/>
    <w:rsid w:val="00F74868"/>
    <w:rsid w:val="00F74B73"/>
    <w:rsid w:val="00F74C54"/>
    <w:rsid w:val="00F74D56"/>
    <w:rsid w:val="00F74FE9"/>
    <w:rsid w:val="00F7569C"/>
    <w:rsid w:val="00F76206"/>
    <w:rsid w:val="00F767A2"/>
    <w:rsid w:val="00F76961"/>
    <w:rsid w:val="00F76F4E"/>
    <w:rsid w:val="00F770D3"/>
    <w:rsid w:val="00F77511"/>
    <w:rsid w:val="00F776AA"/>
    <w:rsid w:val="00F77B60"/>
    <w:rsid w:val="00F81C51"/>
    <w:rsid w:val="00F82111"/>
    <w:rsid w:val="00F8216D"/>
    <w:rsid w:val="00F82770"/>
    <w:rsid w:val="00F827B6"/>
    <w:rsid w:val="00F82BE8"/>
    <w:rsid w:val="00F836D5"/>
    <w:rsid w:val="00F84B4B"/>
    <w:rsid w:val="00F852CE"/>
    <w:rsid w:val="00F8572F"/>
    <w:rsid w:val="00F85F99"/>
    <w:rsid w:val="00F86DD6"/>
    <w:rsid w:val="00F86FBE"/>
    <w:rsid w:val="00F87AD9"/>
    <w:rsid w:val="00F90635"/>
    <w:rsid w:val="00F90648"/>
    <w:rsid w:val="00F91A0A"/>
    <w:rsid w:val="00F922D2"/>
    <w:rsid w:val="00F935FF"/>
    <w:rsid w:val="00F94F80"/>
    <w:rsid w:val="00F95241"/>
    <w:rsid w:val="00F952C4"/>
    <w:rsid w:val="00F9545B"/>
    <w:rsid w:val="00F95A56"/>
    <w:rsid w:val="00F95A95"/>
    <w:rsid w:val="00F95B1B"/>
    <w:rsid w:val="00FA1374"/>
    <w:rsid w:val="00FA19E8"/>
    <w:rsid w:val="00FA2A98"/>
    <w:rsid w:val="00FA2FCB"/>
    <w:rsid w:val="00FA335B"/>
    <w:rsid w:val="00FA3DFD"/>
    <w:rsid w:val="00FA4C2B"/>
    <w:rsid w:val="00FA59C0"/>
    <w:rsid w:val="00FA6F4E"/>
    <w:rsid w:val="00FA77A9"/>
    <w:rsid w:val="00FA7A7A"/>
    <w:rsid w:val="00FB0454"/>
    <w:rsid w:val="00FB0562"/>
    <w:rsid w:val="00FB15C6"/>
    <w:rsid w:val="00FB2158"/>
    <w:rsid w:val="00FB2C51"/>
    <w:rsid w:val="00FB48D9"/>
    <w:rsid w:val="00FB59AB"/>
    <w:rsid w:val="00FB5A55"/>
    <w:rsid w:val="00FB5D2F"/>
    <w:rsid w:val="00FB5EBC"/>
    <w:rsid w:val="00FB6556"/>
    <w:rsid w:val="00FB71FB"/>
    <w:rsid w:val="00FB7818"/>
    <w:rsid w:val="00FB7F00"/>
    <w:rsid w:val="00FC0495"/>
    <w:rsid w:val="00FC0629"/>
    <w:rsid w:val="00FC20EB"/>
    <w:rsid w:val="00FC2238"/>
    <w:rsid w:val="00FC262D"/>
    <w:rsid w:val="00FC35E2"/>
    <w:rsid w:val="00FC4521"/>
    <w:rsid w:val="00FC4917"/>
    <w:rsid w:val="00FC5540"/>
    <w:rsid w:val="00FC5D0F"/>
    <w:rsid w:val="00FC6862"/>
    <w:rsid w:val="00FC734B"/>
    <w:rsid w:val="00FC7847"/>
    <w:rsid w:val="00FD18B5"/>
    <w:rsid w:val="00FD1B82"/>
    <w:rsid w:val="00FD24E5"/>
    <w:rsid w:val="00FD321E"/>
    <w:rsid w:val="00FD3543"/>
    <w:rsid w:val="00FD636A"/>
    <w:rsid w:val="00FE03BB"/>
    <w:rsid w:val="00FE1174"/>
    <w:rsid w:val="00FE197C"/>
    <w:rsid w:val="00FE20B6"/>
    <w:rsid w:val="00FE23FE"/>
    <w:rsid w:val="00FE29D9"/>
    <w:rsid w:val="00FE2CB4"/>
    <w:rsid w:val="00FE35CF"/>
    <w:rsid w:val="00FE3AB3"/>
    <w:rsid w:val="00FE5B60"/>
    <w:rsid w:val="00FE79F1"/>
    <w:rsid w:val="00FE7A7A"/>
    <w:rsid w:val="00FF13CB"/>
    <w:rsid w:val="00FF1D77"/>
    <w:rsid w:val="00FF4578"/>
    <w:rsid w:val="00FF473F"/>
    <w:rsid w:val="00FF4BC5"/>
    <w:rsid w:val="00FF4E93"/>
    <w:rsid w:val="00FF51B3"/>
    <w:rsid w:val="00FF5398"/>
    <w:rsid w:val="00FF6C17"/>
    <w:rsid w:val="07B02CDF"/>
    <w:rsid w:val="0EF809AA"/>
    <w:rsid w:val="12846EA0"/>
    <w:rsid w:val="14F156FD"/>
    <w:rsid w:val="17E520BE"/>
    <w:rsid w:val="18DD50D8"/>
    <w:rsid w:val="1C312433"/>
    <w:rsid w:val="1ED167AE"/>
    <w:rsid w:val="264F3593"/>
    <w:rsid w:val="35A54C93"/>
    <w:rsid w:val="37B36F71"/>
    <w:rsid w:val="3825094E"/>
    <w:rsid w:val="3A951618"/>
    <w:rsid w:val="4AEF454D"/>
    <w:rsid w:val="4BE939AA"/>
    <w:rsid w:val="507B4795"/>
    <w:rsid w:val="514F1241"/>
    <w:rsid w:val="550D64A7"/>
    <w:rsid w:val="57C540DC"/>
    <w:rsid w:val="5CC37D49"/>
    <w:rsid w:val="5EB05207"/>
    <w:rsid w:val="601753BA"/>
    <w:rsid w:val="618F1A6B"/>
    <w:rsid w:val="63B1399A"/>
    <w:rsid w:val="65A803B4"/>
    <w:rsid w:val="74D63A09"/>
    <w:rsid w:val="75517FF0"/>
    <w:rsid w:val="7855167B"/>
    <w:rsid w:val="78936F61"/>
    <w:rsid w:val="7A1E0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standardContextual"/>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4">
    <w:name w:val="heading 2"/>
    <w:basedOn w:val="1"/>
    <w:next w:val="1"/>
    <w:link w:val="20"/>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5">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2"/>
    <w:unhideWhenUsed/>
    <w:qFormat/>
    <w:uiPriority w:val="9"/>
    <w:pPr>
      <w:keepNext/>
      <w:keepLines/>
      <w:spacing w:before="80" w:after="40"/>
      <w:outlineLvl w:val="3"/>
    </w:pPr>
    <w:rPr>
      <w:rFonts w:cstheme="majorBidi"/>
      <w:color w:val="104862" w:themeColor="accent1" w:themeShade="BF"/>
      <w:sz w:val="28"/>
      <w:szCs w:val="28"/>
    </w:rPr>
  </w:style>
  <w:style w:type="paragraph" w:styleId="7">
    <w:name w:val="heading 5"/>
    <w:basedOn w:val="1"/>
    <w:next w:val="1"/>
    <w:link w:val="23"/>
    <w:unhideWhenUsed/>
    <w:qFormat/>
    <w:uiPriority w:val="9"/>
    <w:pPr>
      <w:keepNext/>
      <w:keepLines/>
      <w:spacing w:before="80" w:after="40"/>
      <w:outlineLvl w:val="4"/>
    </w:pPr>
    <w:rPr>
      <w:rFonts w:cstheme="majorBidi"/>
      <w:color w:val="104862" w:themeColor="accent1" w:themeShade="BF"/>
      <w:sz w:val="24"/>
      <w:szCs w:val="24"/>
    </w:rPr>
  </w:style>
  <w:style w:type="paragraph" w:styleId="8">
    <w:name w:val="heading 6"/>
    <w:basedOn w:val="1"/>
    <w:next w:val="1"/>
    <w:link w:val="24"/>
    <w:unhideWhenUsed/>
    <w:qFormat/>
    <w:uiPriority w:val="9"/>
    <w:pPr>
      <w:keepNext/>
      <w:keepLines/>
      <w:spacing w:before="40"/>
      <w:outlineLvl w:val="5"/>
    </w:pPr>
    <w:rPr>
      <w:rFonts w:cstheme="majorBidi"/>
      <w:b/>
      <w:bCs/>
      <w:color w:val="104862" w:themeColor="accent1" w:themeShade="BF"/>
    </w:rPr>
  </w:style>
  <w:style w:type="paragraph" w:styleId="9">
    <w:name w:val="heading 7"/>
    <w:basedOn w:val="1"/>
    <w:next w:val="1"/>
    <w:link w:val="25"/>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Hyperlink"/>
    <w:basedOn w:val="17"/>
    <w:unhideWhenUsed/>
    <w:qFormat/>
    <w:uiPriority w:val="99"/>
    <w:rPr>
      <w:color w:val="467886" w:themeColor="hyperlink"/>
      <w:u w:val="single"/>
      <w14:textFill>
        <w14:solidFill>
          <w14:schemeClr w14:val="hlink"/>
        </w14:solidFill>
      </w14:textFill>
    </w:rPr>
  </w:style>
  <w:style w:type="character" w:customStyle="1" w:styleId="19">
    <w:name w:val="标题 1 字符"/>
    <w:basedOn w:val="17"/>
    <w:link w:val="3"/>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4"/>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6"/>
    <w:semiHidden/>
    <w:qFormat/>
    <w:uiPriority w:val="9"/>
    <w:rPr>
      <w:rFonts w:cstheme="majorBidi"/>
      <w:color w:val="104862" w:themeColor="accent1" w:themeShade="BF"/>
      <w:sz w:val="28"/>
      <w:szCs w:val="28"/>
    </w:rPr>
  </w:style>
  <w:style w:type="character" w:customStyle="1" w:styleId="23">
    <w:name w:val="标题 5 字符"/>
    <w:basedOn w:val="17"/>
    <w:link w:val="7"/>
    <w:semiHidden/>
    <w:qFormat/>
    <w:uiPriority w:val="9"/>
    <w:rPr>
      <w:rFonts w:cstheme="majorBidi"/>
      <w:color w:val="104862" w:themeColor="accent1" w:themeShade="BF"/>
      <w:sz w:val="24"/>
      <w:szCs w:val="24"/>
    </w:rPr>
  </w:style>
  <w:style w:type="character" w:customStyle="1" w:styleId="24">
    <w:name w:val="标题 6 字符"/>
    <w:basedOn w:val="17"/>
    <w:link w:val="8"/>
    <w:semiHidden/>
    <w:qFormat/>
    <w:uiPriority w:val="9"/>
    <w:rPr>
      <w:rFonts w:cstheme="majorBidi"/>
      <w:b/>
      <w:bCs/>
      <w:color w:val="104862" w:themeColor="accent1" w:themeShade="BF"/>
    </w:rPr>
  </w:style>
  <w:style w:type="character" w:customStyle="1" w:styleId="25">
    <w:name w:val="标题 7 字符"/>
    <w:basedOn w:val="17"/>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0">
    <w:name w:val="引用1"/>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customStyle="1" w:styleId="32">
    <w:name w:val="列表段落1"/>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customStyle="1" w:styleId="34">
    <w:name w:val="明显引用1"/>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character" w:customStyle="1" w:styleId="39">
    <w:name w:val="未处理的提及1"/>
    <w:basedOn w:val="17"/>
    <w:unhideWhenUsed/>
    <w:qFormat/>
    <w:uiPriority w:val="99"/>
    <w:rPr>
      <w:color w:val="605E5C"/>
      <w:shd w:val="clear" w:color="auto" w:fill="E1DFDD"/>
    </w:rPr>
  </w:style>
  <w:style w:type="paragraph" w:customStyle="1" w:styleId="40">
    <w:name w:val="修订1"/>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14:ligatures w14:val="standardContextual"/>
    </w:rPr>
  </w:style>
  <w:style w:type="paragraph" w:customStyle="1" w:styleId="41">
    <w:name w:val="修订2"/>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14:ligatures w14:val="standardContextual"/>
    </w:rPr>
  </w:style>
  <w:style w:type="character" w:customStyle="1" w:styleId="42">
    <w:name w:val="未处理的提及2"/>
    <w:basedOn w:val="17"/>
    <w:unhideWhenUsed/>
    <w:qFormat/>
    <w:uiPriority w:val="99"/>
    <w:rPr>
      <w:color w:val="605E5C"/>
      <w:shd w:val="clear" w:color="auto" w:fill="E1DFDD"/>
    </w:rPr>
  </w:style>
  <w:style w:type="paragraph" w:customStyle="1" w:styleId="43">
    <w:name w:val="修订3"/>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14:ligatures w14:val="standardContextual"/>
    </w:rPr>
  </w:style>
  <w:style w:type="paragraph" w:customStyle="1" w:styleId="44">
    <w:name w:val="修订4"/>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standardContextual"/>
    </w:rPr>
  </w:style>
  <w:style w:type="paragraph" w:customStyle="1" w:styleId="45">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standardContextual"/>
    </w:rPr>
  </w:style>
  <w:style w:type="character" w:customStyle="1" w:styleId="46">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5955</Words>
  <Characters>17089</Characters>
  <Lines>36</Lines>
  <Paragraphs>10</Paragraphs>
  <TotalTime>21</TotalTime>
  <ScaleCrop>false</ScaleCrop>
  <LinksUpToDate>false</LinksUpToDate>
  <CharactersWithSpaces>19314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2026-04-13T08:24:00Z</dcterms:created>
  <dc:creator>Tang Chaton</dc:creator>
  <cp:lastModifiedBy>侯深</cp:lastModifiedBy>
  <cp:lastPrinted>2026-03-31T06:11:00Z</cp:lastPrinted>
  <dcterms:modified xsi:type="dcterms:W3CDTF">2026-08-06T00:57:22Z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9B2745BAC76E4E50AC622DE2E1182422_13</vt:lpwstr>
  </property>
  <property fmtid="{D5CDD505-2E9C-101B-9397-08002B2CF9AE}" pid="4" name="KSOTemplateDocerSaveRecord">
    <vt:lpwstr>eyJoZGlkIjoiZGE2Mjg2YTZkZTMyMTYwY2M1OTQ5YzJlN2MyYmRjOGEiLCJ1c2VySWQiOiI0ODY3Njg1MjEifQ==</vt:lpwstr>
  </property>
</Properties>
</file>